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2CA66F">
      <w:pPr>
        <w:tabs>
          <w:tab w:val="right" w:pos="9639"/>
        </w:tabs>
        <w:spacing w:after="0"/>
        <w:rPr>
          <w:rFonts w:hint="default" w:ascii="Arial" w:hAnsi="Arial"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26</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w:t>
      </w:r>
      <w:r>
        <w:rPr>
          <w:rFonts w:hint="default" w:ascii="Arial" w:hAnsi="Arial" w:cs="Arial"/>
          <w:b/>
          <w:sz w:val="22"/>
          <w:szCs w:val="22"/>
          <w:lang w:val="en-US" w:eastAsia="zh-CN"/>
        </w:rPr>
        <w:t>0516</w:t>
      </w:r>
    </w:p>
    <w:p w14:paraId="6F7A394D">
      <w:pPr>
        <w:pStyle w:val="38"/>
        <w:rPr>
          <w:b w:val="0"/>
          <w:bCs/>
          <w:sz w:val="24"/>
          <w:lang w:val="en-US"/>
        </w:rPr>
      </w:pPr>
      <w:r>
        <w:rPr>
          <w:rFonts w:hint="eastAsia" w:cs="Arial"/>
          <w:sz w:val="22"/>
          <w:szCs w:val="22"/>
          <w:lang w:val="en-US" w:eastAsia="zh-CN"/>
        </w:rPr>
        <w:t>Goa</w:t>
      </w:r>
      <w:r>
        <w:rPr>
          <w:rFonts w:cs="Arial"/>
          <w:sz w:val="22"/>
          <w:szCs w:val="22"/>
        </w:rPr>
        <w:t>,</w:t>
      </w:r>
      <w:r>
        <w:rPr>
          <w:rFonts w:hint="eastAsia" w:cs="Arial"/>
          <w:sz w:val="22"/>
          <w:szCs w:val="22"/>
          <w:lang w:val="en-US" w:eastAsia="zh-CN"/>
        </w:rPr>
        <w:t xml:space="preserve"> India</w:t>
      </w:r>
      <w:r>
        <w:rPr>
          <w:rFonts w:cs="Arial"/>
          <w:sz w:val="22"/>
          <w:szCs w:val="22"/>
          <w:lang w:val="en-US" w:eastAsia="zh-CN"/>
        </w:rPr>
        <w:t>S</w:t>
      </w:r>
      <w:r>
        <w:rPr>
          <w:rFonts w:cs="Arial"/>
          <w:sz w:val="22"/>
          <w:szCs w:val="22"/>
          <w:lang w:val="en-US"/>
        </w:rPr>
        <w:t>,</w:t>
      </w:r>
      <w:r>
        <w:rPr>
          <w:rFonts w:cs="Arial"/>
          <w:sz w:val="22"/>
          <w:szCs w:val="22"/>
        </w:rPr>
        <w:t xml:space="preserve"> </w:t>
      </w:r>
      <w:r>
        <w:rPr>
          <w:rFonts w:hint="eastAsia" w:cs="Arial"/>
          <w:sz w:val="22"/>
          <w:szCs w:val="22"/>
          <w:lang w:val="en-US" w:eastAsia="zh-CN"/>
        </w:rPr>
        <w:t>9</w:t>
      </w:r>
      <w:r>
        <w:rPr>
          <w:rFonts w:cs="Arial"/>
          <w:sz w:val="22"/>
          <w:szCs w:val="22"/>
        </w:rPr>
        <w:t xml:space="preserve"> - </w:t>
      </w:r>
      <w:r>
        <w:rPr>
          <w:rFonts w:hint="eastAsia" w:cs="Arial"/>
          <w:sz w:val="22"/>
          <w:szCs w:val="22"/>
          <w:lang w:val="en-US" w:eastAsia="zh-CN"/>
        </w:rPr>
        <w:t>13</w:t>
      </w:r>
      <w:r>
        <w:rPr>
          <w:rFonts w:cs="Arial"/>
          <w:sz w:val="22"/>
          <w:szCs w:val="22"/>
        </w:rPr>
        <w:t xml:space="preserve"> </w:t>
      </w:r>
      <w:r>
        <w:rPr>
          <w:rFonts w:hint="eastAsia" w:cs="Arial"/>
          <w:sz w:val="22"/>
          <w:szCs w:val="22"/>
          <w:lang w:val="en-US" w:eastAsia="zh-CN"/>
        </w:rPr>
        <w:t>February</w:t>
      </w:r>
      <w:r>
        <w:rPr>
          <w:rFonts w:cs="Arial"/>
          <w:sz w:val="22"/>
          <w:szCs w:val="22"/>
        </w:rPr>
        <w:t xml:space="preserve"> 20</w:t>
      </w:r>
      <w:r>
        <w:rPr>
          <w:rFonts w:hint="eastAsia" w:cs="Arial"/>
          <w:sz w:val="22"/>
          <w:szCs w:val="22"/>
          <w:lang w:val="en-US" w:eastAsia="zh-CN"/>
        </w:rPr>
        <w:t>26</w:t>
      </w:r>
    </w:p>
    <w:p w14:paraId="3EF5362F">
      <w:pPr>
        <w:keepNext/>
        <w:pBdr>
          <w:bottom w:val="single" w:color="auto" w:sz="4" w:space="1"/>
        </w:pBdr>
        <w:tabs>
          <w:tab w:val="right" w:pos="9639"/>
        </w:tabs>
        <w:outlineLvl w:val="0"/>
        <w:rPr>
          <w:rFonts w:ascii="Arial" w:hAnsi="Arial" w:cs="Arial"/>
          <w:b/>
          <w:sz w:val="24"/>
        </w:rPr>
      </w:pPr>
    </w:p>
    <w:p w14:paraId="602C829D">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ascii="Arial" w:hAnsi="Arial"/>
          <w:b/>
          <w:lang w:val="en-US"/>
        </w:rPr>
        <w:tab/>
      </w:r>
      <w:bookmarkStart w:id="0" w:name="_Hlk134020779"/>
      <w:r>
        <w:rPr>
          <w:rFonts w:ascii="Arial" w:hAnsi="Arial"/>
          <w:b/>
          <w:lang w:val="en-US"/>
        </w:rPr>
        <w:t>Apple</w:t>
      </w:r>
      <w:r>
        <w:rPr>
          <w:rFonts w:hint="eastAsia" w:ascii="Arial" w:hAnsi="Arial"/>
          <w:b/>
          <w:lang w:val="en-US" w:eastAsia="zh-CN"/>
        </w:rPr>
        <w:t>,</w:t>
      </w:r>
      <w:r>
        <w:rPr>
          <w:rFonts w:hint="default" w:ascii="Arial" w:hAnsi="Arial"/>
          <w:b/>
          <w:lang w:val="en-US" w:eastAsia="zh-CN"/>
        </w:rPr>
        <w:t xml:space="preserve"> vivo</w:t>
      </w:r>
    </w:p>
    <w:bookmarkEnd w:id="0"/>
    <w:p w14:paraId="269B9D33">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ascii="Arial" w:hAnsi="Arial" w:cs="Arial"/>
          <w:b/>
        </w:rPr>
        <w:t xml:space="preserve">Discussion paper </w:t>
      </w:r>
      <w:r>
        <w:rPr>
          <w:rFonts w:ascii="Arial" w:hAnsi="Arial" w:cs="Arial"/>
          <w:b/>
          <w:lang w:val="en-US"/>
        </w:rPr>
        <w:t xml:space="preserve">on </w:t>
      </w:r>
      <w:r>
        <w:rPr>
          <w:rFonts w:hint="eastAsia" w:ascii="Arial" w:hAnsi="Arial" w:cs="Arial"/>
          <w:b/>
          <w:lang w:val="en-US" w:eastAsia="zh-CN"/>
        </w:rPr>
        <w:t>user consent for NW-side data collection</w:t>
      </w:r>
    </w:p>
    <w:p w14:paraId="3AEA710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val="en-US"/>
        </w:rPr>
        <w:t>D</w:t>
      </w:r>
      <w:r>
        <w:rPr>
          <w:rFonts w:ascii="Arial" w:hAnsi="Arial"/>
          <w:b/>
          <w:lang w:eastAsia="zh-CN"/>
        </w:rPr>
        <w:t>iscussion</w:t>
      </w:r>
    </w:p>
    <w:p w14:paraId="4EFF595C">
      <w:pPr>
        <w:keepNext/>
        <w:pBdr>
          <w:bottom w:val="single" w:color="auto" w:sz="4" w:space="1"/>
        </w:pBdr>
        <w:tabs>
          <w:tab w:val="left" w:pos="2127"/>
        </w:tabs>
        <w:spacing w:after="0"/>
        <w:ind w:left="2126" w:hanging="2126"/>
        <w:rPr>
          <w:rFonts w:ascii="Arial" w:hAnsi="Arial"/>
          <w:b/>
          <w:bCs/>
          <w:lang w:val="en-US" w:eastAsia="zh-CN"/>
        </w:rPr>
      </w:pPr>
      <w:r>
        <w:rPr>
          <w:rFonts w:ascii="Arial" w:hAnsi="Arial"/>
          <w:b/>
          <w:bCs/>
        </w:rPr>
        <w:t>Agenda Item:</w:t>
      </w:r>
      <w:r>
        <w:tab/>
      </w:r>
      <w:r>
        <w:rPr>
          <w:rFonts w:ascii="Arial" w:hAnsi="Arial"/>
          <w:b/>
          <w:bCs/>
          <w:lang w:val="en-US" w:eastAsia="zh-CN"/>
        </w:rPr>
        <w:t>3</w:t>
      </w:r>
    </w:p>
    <w:p w14:paraId="3513F843">
      <w:pPr>
        <w:pStyle w:val="2"/>
      </w:pPr>
      <w:r>
        <w:t>1</w:t>
      </w:r>
      <w:r>
        <w:tab/>
      </w:r>
      <w:r>
        <w:t>Decision/action requested</w:t>
      </w:r>
    </w:p>
    <w:p w14:paraId="5A27F403">
      <w:pPr>
        <w:pBdr>
          <w:top w:val="single" w:color="auto" w:sz="4" w:space="1"/>
          <w:left w:val="single" w:color="auto" w:sz="4" w:space="4"/>
          <w:bottom w:val="single" w:color="auto" w:sz="4" w:space="1"/>
          <w:right w:val="single" w:color="auto" w:sz="4" w:space="4"/>
        </w:pBdr>
        <w:shd w:val="clear" w:color="auto" w:fill="FFFF99"/>
        <w:jc w:val="center"/>
        <w:rPr>
          <w:lang w:val="en-US" w:eastAsia="zh-CN"/>
        </w:rPr>
      </w:pPr>
      <w:r>
        <w:rPr>
          <w:b/>
          <w:i/>
        </w:rPr>
        <w:t xml:space="preserve">It is requested to discuss the </w:t>
      </w:r>
      <w:r>
        <w:rPr>
          <w:rFonts w:hint="eastAsia"/>
          <w:b/>
          <w:i/>
          <w:lang w:val="en-US" w:eastAsia="zh-CN"/>
        </w:rPr>
        <w:t>background and the principles for the user consent for NW-side data collection</w:t>
      </w:r>
    </w:p>
    <w:p w14:paraId="49C8F07B">
      <w:pPr>
        <w:pStyle w:val="2"/>
      </w:pPr>
      <w:r>
        <w:t>2</w:t>
      </w:r>
      <w:r>
        <w:tab/>
      </w:r>
      <w:r>
        <w:t>References</w:t>
      </w:r>
    </w:p>
    <w:p w14:paraId="3CBE6CE9">
      <w:pPr>
        <w:pStyle w:val="135"/>
        <w:rPr>
          <w:rFonts w:eastAsia="微软雅黑"/>
          <w:lang w:val="en-US" w:eastAsia="zh-CN"/>
        </w:rPr>
      </w:pPr>
      <w:r>
        <w:rPr>
          <w:rFonts w:eastAsia="微软雅黑"/>
        </w:rPr>
        <w:t>[</w:t>
      </w:r>
      <w:r>
        <w:rPr>
          <w:rFonts w:eastAsia="微软雅黑"/>
          <w:lang w:val="en-US"/>
        </w:rPr>
        <w:t>1</w:t>
      </w:r>
      <w:r>
        <w:rPr>
          <w:rFonts w:eastAsia="微软雅黑"/>
        </w:rPr>
        <w:t xml:space="preserve">] </w:t>
      </w:r>
      <w:r>
        <w:rPr>
          <w:rFonts w:hint="eastAsia" w:eastAsia="微软雅黑"/>
          <w:lang w:val="en-US" w:eastAsia="zh-CN"/>
        </w:rPr>
        <w:t>R2-2506541 LS on user consent for NW-side data collection</w:t>
      </w:r>
    </w:p>
    <w:p w14:paraId="7064F265">
      <w:pPr>
        <w:pStyle w:val="135"/>
        <w:rPr>
          <w:rFonts w:eastAsia="微软雅黑"/>
          <w:lang w:val="en-US" w:eastAsia="zh-CN"/>
        </w:rPr>
      </w:pPr>
      <w:r>
        <w:rPr>
          <w:rFonts w:eastAsia="微软雅黑"/>
          <w:lang w:val="en-US"/>
        </w:rPr>
        <w:t xml:space="preserve">[2] </w:t>
      </w:r>
      <w:r>
        <w:rPr>
          <w:rFonts w:hint="eastAsia" w:eastAsia="微软雅黑"/>
          <w:lang w:val="en-US" w:eastAsia="zh-CN"/>
        </w:rPr>
        <w:t>R2-2506186 DP on user consent for NW-side data collection</w:t>
      </w:r>
    </w:p>
    <w:p w14:paraId="6BB3FF08">
      <w:pPr>
        <w:pStyle w:val="135"/>
        <w:rPr>
          <w:rFonts w:eastAsia="微软雅黑"/>
          <w:lang w:val="en-US" w:eastAsia="zh-CN"/>
        </w:rPr>
      </w:pPr>
      <w:r>
        <w:rPr>
          <w:rFonts w:eastAsia="微软雅黑"/>
          <w:lang w:val="en-US" w:eastAsia="zh-CN"/>
        </w:rPr>
        <w:t xml:space="preserve">[3] </w:t>
      </w:r>
      <w:r>
        <w:rPr>
          <w:rFonts w:hint="eastAsia" w:eastAsia="微软雅黑"/>
          <w:lang w:val="en-US" w:eastAsia="zh-CN"/>
        </w:rPr>
        <w:t>TS 32.422</w:t>
      </w:r>
      <w:r>
        <w:rPr>
          <w:rFonts w:eastAsia="微软雅黑"/>
          <w:lang w:val="en-US" w:eastAsia="zh-CN"/>
        </w:rPr>
        <w:t xml:space="preserve"> v19.3.0:</w:t>
      </w:r>
      <w:r>
        <w:rPr>
          <w:rFonts w:hint="eastAsia" w:eastAsia="微软雅黑"/>
          <w:lang w:val="en-US" w:eastAsia="zh-CN"/>
        </w:rPr>
        <w:t xml:space="preserve"> Telecommunication management; Subscriber and equipment trace; Trace control and configuration management</w:t>
      </w:r>
    </w:p>
    <w:p w14:paraId="734BB6F0">
      <w:pPr>
        <w:pStyle w:val="135"/>
        <w:rPr>
          <w:rFonts w:eastAsia="微软雅黑"/>
          <w:lang w:val="en-US" w:eastAsia="zh-CN"/>
        </w:rPr>
      </w:pPr>
      <w:r>
        <w:rPr>
          <w:rFonts w:eastAsia="微软雅黑"/>
          <w:lang w:val="en-US" w:eastAsia="zh-CN"/>
        </w:rPr>
        <w:t xml:space="preserve">[4] </w:t>
      </w:r>
      <w:r>
        <w:rPr>
          <w:rFonts w:hint="eastAsia" w:eastAsia="微软雅黑"/>
          <w:lang w:val="en-US" w:eastAsia="zh-CN"/>
        </w:rPr>
        <w:t>EU</w:t>
      </w:r>
      <w:r>
        <w:rPr>
          <w:rFonts w:eastAsia="微软雅黑"/>
          <w:lang w:val="en-US" w:eastAsia="zh-CN"/>
        </w:rPr>
        <w:t xml:space="preserve"> GDPR(General Data Protection Regulation):  </w:t>
      </w:r>
      <w:r>
        <w:fldChar w:fldCharType="begin"/>
      </w:r>
      <w:r>
        <w:instrText xml:space="preserve"> HYPERLINK "https://gdpr.eu/tag/gdpr/" </w:instrText>
      </w:r>
      <w:r>
        <w:fldChar w:fldCharType="separate"/>
      </w:r>
      <w:r>
        <w:rPr>
          <w:rStyle w:val="43"/>
          <w:rFonts w:eastAsia="微软雅黑"/>
          <w:lang w:val="en-US" w:eastAsia="zh-CN"/>
        </w:rPr>
        <w:t>https://gdpr.eu/tag/gdpr/</w:t>
      </w:r>
      <w:r>
        <w:rPr>
          <w:rStyle w:val="43"/>
          <w:rFonts w:eastAsia="微软雅黑"/>
          <w:lang w:val="en-US" w:eastAsia="zh-CN"/>
        </w:rPr>
        <w:fldChar w:fldCharType="end"/>
      </w:r>
      <w:r>
        <w:rPr>
          <w:rFonts w:eastAsia="微软雅黑"/>
          <w:lang w:val="en-US" w:eastAsia="zh-CN"/>
        </w:rPr>
        <w:t xml:space="preserve"> </w:t>
      </w:r>
    </w:p>
    <w:p w14:paraId="0024EB54">
      <w:pPr>
        <w:pStyle w:val="135"/>
        <w:rPr>
          <w:rFonts w:eastAsia="微软雅黑"/>
          <w:lang w:val="en-US" w:eastAsia="zh-CN"/>
        </w:rPr>
      </w:pPr>
      <w:r>
        <w:rPr>
          <w:rFonts w:hint="eastAsia" w:eastAsia="微软雅黑"/>
          <w:lang w:val="en-US" w:eastAsia="zh-CN"/>
        </w:rPr>
        <w:t>[</w:t>
      </w:r>
      <w:r>
        <w:rPr>
          <w:rFonts w:eastAsia="微软雅黑"/>
          <w:lang w:val="en-US" w:eastAsia="zh-CN"/>
        </w:rPr>
        <w:t xml:space="preserve">5] China PIPL (Personal Information Protection Law): </w:t>
      </w:r>
      <w:r>
        <w:rPr>
          <w:rFonts w:eastAsia="微软雅黑"/>
          <w:lang w:val="en-US" w:eastAsia="zh-CN"/>
        </w:rPr>
        <w:fldChar w:fldCharType="begin"/>
      </w:r>
      <w:r>
        <w:rPr>
          <w:rFonts w:eastAsia="微软雅黑"/>
          <w:lang w:val="en-US" w:eastAsia="zh-CN"/>
        </w:rPr>
        <w:instrText xml:space="preserve"> HYPERLINK "https://www.cac.gov.cn/2021-08/20/c_1631050028355286.htm" </w:instrText>
      </w:r>
      <w:r>
        <w:rPr>
          <w:rFonts w:eastAsia="微软雅黑"/>
          <w:lang w:val="en-US" w:eastAsia="zh-CN"/>
        </w:rPr>
        <w:fldChar w:fldCharType="separate"/>
      </w:r>
      <w:r>
        <w:rPr>
          <w:rStyle w:val="43"/>
          <w:rFonts w:eastAsia="微软雅黑"/>
          <w:lang w:val="en-US" w:eastAsia="zh-CN"/>
        </w:rPr>
        <w:t>https://www.cac.gov.cn/2021-08/20/c_1631050028355286.htm</w:t>
      </w:r>
      <w:r>
        <w:rPr>
          <w:rFonts w:eastAsia="微软雅黑"/>
          <w:lang w:val="en-US" w:eastAsia="zh-CN"/>
        </w:rPr>
        <w:fldChar w:fldCharType="end"/>
      </w:r>
      <w:r>
        <w:rPr>
          <w:rFonts w:eastAsia="微软雅黑"/>
          <w:lang w:val="en-US" w:eastAsia="zh-CN"/>
        </w:rPr>
        <w:t xml:space="preserve"> </w:t>
      </w:r>
    </w:p>
    <w:p w14:paraId="3AB5F7B8">
      <w:pPr>
        <w:pStyle w:val="135"/>
        <w:tabs>
          <w:tab w:val="left" w:pos="0"/>
          <w:tab w:val="clear" w:pos="851"/>
        </w:tabs>
        <w:ind w:left="0" w:firstLine="0"/>
        <w:rPr>
          <w:rFonts w:eastAsia="微软雅黑"/>
          <w:lang w:val="en-US" w:eastAsia="zh-CN"/>
        </w:rPr>
      </w:pPr>
      <w:r>
        <w:rPr>
          <w:rFonts w:hint="eastAsia" w:eastAsia="微软雅黑"/>
          <w:lang w:val="en-US" w:eastAsia="zh-CN"/>
        </w:rPr>
        <w:t>[</w:t>
      </w:r>
      <w:r>
        <w:rPr>
          <w:rFonts w:eastAsia="微软雅黑"/>
          <w:lang w:val="en-US" w:eastAsia="zh-CN"/>
        </w:rPr>
        <w:t xml:space="preserve">6] Japan APPI (Act on the Protection of Personal Information): </w:t>
      </w:r>
      <w:r>
        <w:rPr>
          <w:rFonts w:eastAsia="微软雅黑"/>
          <w:lang w:val="en-US" w:eastAsia="zh-CN"/>
        </w:rPr>
        <w:fldChar w:fldCharType="begin"/>
      </w:r>
      <w:r>
        <w:rPr>
          <w:rFonts w:eastAsia="微软雅黑"/>
          <w:lang w:val="en-US" w:eastAsia="zh-CN"/>
        </w:rPr>
        <w:instrText xml:space="preserve"> HYPERLINK "https://www.japaneselawtranslation.go.jp/en/laws/view/4241/en" </w:instrText>
      </w:r>
      <w:r>
        <w:rPr>
          <w:rFonts w:eastAsia="微软雅黑"/>
          <w:lang w:val="en-US" w:eastAsia="zh-CN"/>
        </w:rPr>
        <w:fldChar w:fldCharType="separate"/>
      </w:r>
      <w:r>
        <w:rPr>
          <w:rStyle w:val="43"/>
          <w:rFonts w:eastAsia="微软雅黑"/>
          <w:lang w:val="en-US" w:eastAsia="zh-CN"/>
        </w:rPr>
        <w:t>https://www.japaneselawtranslation.go.jp/en/laws/view/4241/en</w:t>
      </w:r>
      <w:r>
        <w:rPr>
          <w:rFonts w:eastAsia="微软雅黑"/>
          <w:lang w:val="en-US" w:eastAsia="zh-CN"/>
        </w:rPr>
        <w:fldChar w:fldCharType="end"/>
      </w:r>
      <w:r>
        <w:rPr>
          <w:rFonts w:eastAsia="微软雅黑"/>
          <w:lang w:val="en-US" w:eastAsia="zh-CN"/>
        </w:rPr>
        <w:t xml:space="preserve"> </w:t>
      </w:r>
    </w:p>
    <w:p w14:paraId="505E9387">
      <w:pPr>
        <w:pStyle w:val="135"/>
        <w:rPr>
          <w:rFonts w:eastAsia="微软雅黑"/>
          <w:lang w:val="en-US" w:eastAsia="zh-CN"/>
        </w:rPr>
      </w:pPr>
      <w:r>
        <w:rPr>
          <w:rFonts w:hint="eastAsia" w:eastAsia="微软雅黑"/>
          <w:lang w:val="en-US" w:eastAsia="zh-CN"/>
        </w:rPr>
        <w:t>[</w:t>
      </w:r>
      <w:r>
        <w:rPr>
          <w:rFonts w:eastAsia="微软雅黑"/>
          <w:lang w:val="en-US" w:eastAsia="zh-CN"/>
        </w:rPr>
        <w:t xml:space="preserve">7] South Korea PIPA (Personal Information Protection Act): </w:t>
      </w:r>
      <w:r>
        <w:rPr>
          <w:rFonts w:eastAsia="微软雅黑"/>
          <w:lang w:val="en-US" w:eastAsia="zh-CN"/>
        </w:rPr>
        <w:fldChar w:fldCharType="begin"/>
      </w:r>
      <w:r>
        <w:rPr>
          <w:rFonts w:eastAsia="微软雅黑"/>
          <w:lang w:val="en-US" w:eastAsia="zh-CN"/>
        </w:rPr>
        <w:instrText xml:space="preserve"> HYPERLINK "https://www.pipc.go.kr/eng/user/lgp/law/lawDetail.do" </w:instrText>
      </w:r>
      <w:r>
        <w:rPr>
          <w:rFonts w:eastAsia="微软雅黑"/>
          <w:lang w:val="en-US" w:eastAsia="zh-CN"/>
        </w:rPr>
        <w:fldChar w:fldCharType="separate"/>
      </w:r>
      <w:r>
        <w:rPr>
          <w:rStyle w:val="43"/>
          <w:rFonts w:eastAsia="微软雅黑"/>
          <w:lang w:val="en-US" w:eastAsia="zh-CN"/>
        </w:rPr>
        <w:t>https://www.pipc.go.kr/eng/user/lgp/law/lawDetail.do</w:t>
      </w:r>
      <w:r>
        <w:rPr>
          <w:rFonts w:eastAsia="微软雅黑"/>
          <w:lang w:val="en-US" w:eastAsia="zh-CN"/>
        </w:rPr>
        <w:fldChar w:fldCharType="end"/>
      </w:r>
      <w:r>
        <w:rPr>
          <w:rFonts w:eastAsia="微软雅黑"/>
          <w:lang w:val="en-US" w:eastAsia="zh-CN"/>
        </w:rPr>
        <w:t xml:space="preserve"> </w:t>
      </w:r>
    </w:p>
    <w:p w14:paraId="71ED2249">
      <w:pPr>
        <w:keepNext/>
        <w:keepLines/>
        <w:pBdr>
          <w:top w:val="single" w:color="auto" w:sz="12" w:space="3"/>
        </w:pBdr>
        <w:spacing w:before="240"/>
        <w:ind w:left="1134" w:hanging="1134"/>
        <w:outlineLvl w:val="0"/>
        <w:rPr>
          <w:rFonts w:ascii="Arial" w:hAnsi="Arial"/>
          <w:sz w:val="36"/>
          <w:lang w:val="en-US" w:eastAsia="zh-CN"/>
        </w:rPr>
      </w:pPr>
      <w:r>
        <w:rPr>
          <w:rFonts w:ascii="Arial" w:hAnsi="Arial"/>
          <w:sz w:val="36"/>
        </w:rPr>
        <w:t>3</w:t>
      </w:r>
      <w:r>
        <w:rPr>
          <w:rFonts w:ascii="Arial" w:hAnsi="Arial"/>
          <w:sz w:val="36"/>
        </w:rPr>
        <w:tab/>
      </w:r>
      <w:r>
        <w:rPr>
          <w:rFonts w:ascii="Arial" w:hAnsi="Arial"/>
          <w:sz w:val="36"/>
          <w:lang w:val="en-US"/>
        </w:rPr>
        <w:t>Background</w:t>
      </w:r>
    </w:p>
    <w:p w14:paraId="31493F8F">
      <w:pPr>
        <w:spacing w:before="100" w:beforeAutospacing="1" w:after="100" w:afterAutospacing="1"/>
        <w:rPr>
          <w:lang w:val="en-US" w:eastAsia="zh-CN"/>
        </w:rPr>
      </w:pPr>
      <w:r>
        <w:rPr>
          <w:rFonts w:eastAsia="Times New Roman"/>
          <w:lang w:val="en-US"/>
        </w:rPr>
        <w:t xml:space="preserve">SA3 </w:t>
      </w:r>
      <w:r>
        <w:rPr>
          <w:rFonts w:hint="eastAsia"/>
          <w:lang w:val="en-US" w:eastAsia="zh-CN"/>
        </w:rPr>
        <w:t>received</w:t>
      </w:r>
      <w:r>
        <w:rPr>
          <w:lang w:val="en-US" w:eastAsia="zh-CN"/>
        </w:rPr>
        <w:t xml:space="preserve"> the LS from RAN2 on the user consent for NW-side data collection, requesting SA3 to answer questions on whehter user consent is needed for wach option and if so, how that can be achieved. This discussion paper is </w:t>
      </w:r>
      <w:r>
        <w:rPr>
          <w:rFonts w:hint="eastAsia"/>
          <w:lang w:val="en-US" w:eastAsia="zh-CN"/>
        </w:rPr>
        <w:t>i</w:t>
      </w:r>
      <w:r>
        <w:rPr>
          <w:lang w:val="en-US" w:eastAsia="zh-CN"/>
        </w:rPr>
        <w:t>ntroducing the background and the proposals for addressing the issue in a consistent manner.</w:t>
      </w:r>
    </w:p>
    <w:p w14:paraId="6218204C">
      <w:pPr>
        <w:spacing w:before="100" w:beforeAutospacing="1" w:after="100" w:afterAutospacing="1"/>
        <w:rPr>
          <w:lang w:val="en-US" w:eastAsia="zh-CN"/>
        </w:rPr>
      </w:pPr>
      <w:r>
        <w:rPr>
          <w:lang w:val="en-US" w:eastAsia="zh-CN"/>
        </w:rPr>
        <w:t>The discussion paper is a revision of S3-25</w:t>
      </w:r>
      <w:r>
        <w:rPr>
          <w:rFonts w:hint="eastAsia"/>
          <w:lang w:val="en-US" w:eastAsia="zh-CN"/>
        </w:rPr>
        <w:t>4233 su</w:t>
      </w:r>
      <w:r>
        <w:rPr>
          <w:rFonts w:hint="default"/>
          <w:lang w:val="en-US" w:eastAsia="zh-CN"/>
        </w:rPr>
        <w:t>b</w:t>
      </w:r>
      <w:r>
        <w:rPr>
          <w:rFonts w:hint="eastAsia"/>
          <w:lang w:val="en-US" w:eastAsia="zh-CN"/>
        </w:rPr>
        <w:t>mitted</w:t>
      </w:r>
      <w:r>
        <w:rPr>
          <w:rFonts w:hint="default"/>
          <w:lang w:val="en-US" w:eastAsia="zh-CN"/>
        </w:rPr>
        <w:t xml:space="preserve"> to SA3#125 in Nov 2025</w:t>
      </w:r>
      <w:r>
        <w:rPr>
          <w:lang w:val="en-US" w:eastAsia="zh-CN"/>
        </w:rPr>
        <w:t xml:space="preserve">, . </w:t>
      </w:r>
    </w:p>
    <w:p w14:paraId="529BEB29">
      <w:pPr>
        <w:pStyle w:val="2"/>
      </w:pPr>
      <w:r>
        <w:t>4</w:t>
      </w:r>
      <w:r>
        <w:tab/>
      </w:r>
      <w:r>
        <w:t>D</w:t>
      </w:r>
      <w:r>
        <w:rPr>
          <w:lang w:val="en-US"/>
        </w:rPr>
        <w:t>iscussion</w:t>
      </w:r>
    </w:p>
    <w:p w14:paraId="42995EC8">
      <w:pPr>
        <w:pStyle w:val="3"/>
        <w:rPr>
          <w:lang w:eastAsia="en-IN"/>
        </w:rPr>
      </w:pPr>
      <w:bookmarkStart w:id="1" w:name="_Toc107949223"/>
      <w:r>
        <w:rPr>
          <w:lang w:eastAsia="en-IN"/>
        </w:rPr>
        <w:t xml:space="preserve">4.1 </w:t>
      </w:r>
      <w:r>
        <w:rPr>
          <w:lang w:val="en-US" w:eastAsia="en-IN"/>
        </w:rPr>
        <w:tab/>
      </w:r>
      <w:r>
        <w:rPr>
          <w:lang w:val="en-US" w:eastAsia="en-IN"/>
        </w:rPr>
        <w:t>The agreements</w:t>
      </w:r>
      <w:r>
        <w:rPr>
          <w:rFonts w:hint="eastAsia"/>
          <w:lang w:val="en-US" w:eastAsia="zh-CN"/>
        </w:rPr>
        <w:t xml:space="preserve"> </w:t>
      </w:r>
      <w:r>
        <w:rPr>
          <w:lang w:val="en-US" w:eastAsia="zh-CN"/>
        </w:rPr>
        <w:t>and progress</w:t>
      </w:r>
      <w:r>
        <w:rPr>
          <w:lang w:val="en-US" w:eastAsia="en-IN"/>
        </w:rPr>
        <w:t xml:space="preserve"> in RAN2</w:t>
      </w:r>
      <w:r>
        <w:rPr>
          <w:lang w:eastAsia="en-IN"/>
        </w:rPr>
        <w:t xml:space="preserve"> </w:t>
      </w:r>
    </w:p>
    <w:p w14:paraId="10D60529">
      <w:pPr>
        <w:rPr>
          <w:lang w:val="en-US" w:eastAsia="zh-CN"/>
        </w:rPr>
      </w:pPr>
      <w:r>
        <w:rPr>
          <w:lang w:val="en-US" w:eastAsia="zh-CN"/>
        </w:rPr>
        <w:t>RAN2 has decided to support NW-side data collection for AI/ML PHY using a variant of immediate MDT. Two collection approaches are considered:</w:t>
      </w:r>
    </w:p>
    <w:p w14:paraId="7D90BBF3">
      <w:pPr>
        <w:rPr>
          <w:lang w:val="en-US" w:eastAsia="zh-CN"/>
        </w:rPr>
      </w:pPr>
      <w:r>
        <w:rPr>
          <w:lang w:val="en-US" w:eastAsia="zh-CN"/>
        </w:rPr>
        <w:t>OAM-centric collection: OAM configures the gNB, which then configures the UE for measurement collection.</w:t>
      </w:r>
    </w:p>
    <w:p w14:paraId="3487531D">
      <w:pPr>
        <w:rPr>
          <w:lang w:val="en-US" w:eastAsia="zh-CN"/>
        </w:rPr>
      </w:pPr>
      <w:r>
        <w:rPr>
          <w:lang w:val="en-US" w:eastAsia="zh-CN"/>
        </w:rPr>
        <w:t>gNB-centric collection: gNB directly configures the UE with RRC signalling.</w:t>
      </w:r>
    </w:p>
    <w:p w14:paraId="468C407F">
      <w:pPr>
        <w:rPr>
          <w:lang w:val="en-US" w:eastAsia="zh-CN"/>
        </w:rPr>
      </w:pPr>
      <w:r>
        <w:rPr>
          <w:lang w:val="en-US" w:eastAsia="zh-CN"/>
        </w:rPr>
        <w:t>For network-side data collection for beam prediction, measurement reports include the following:.</w:t>
      </w:r>
    </w:p>
    <w:p w14:paraId="0D93347D">
      <w:pPr>
        <w:rPr>
          <w:lang w:val="en-US" w:eastAsia="zh-CN"/>
        </w:rPr>
      </w:pPr>
      <w:r>
        <w:rPr>
          <w:lang w:val="en-US" w:eastAsia="zh-CN"/>
        </w:rPr>
        <w:t>⁻</w:t>
      </w:r>
      <w:r>
        <w:rPr>
          <w:lang w:val="en-US" w:eastAsia="zh-CN"/>
        </w:rPr>
        <w:tab/>
      </w:r>
      <w:r>
        <w:rPr>
          <w:lang w:val="en-US" w:eastAsia="zh-CN"/>
        </w:rPr>
        <w:t>Cell identity: CGI or PCI of the cell to which the measurement results are related.</w:t>
      </w:r>
    </w:p>
    <w:p w14:paraId="6351458C">
      <w:pPr>
        <w:rPr>
          <w:lang w:val="en-US" w:eastAsia="zh-CN"/>
        </w:rPr>
      </w:pPr>
      <w:r>
        <w:rPr>
          <w:lang w:val="en-US" w:eastAsia="zh-CN"/>
        </w:rPr>
        <w:t>⁻</w:t>
      </w:r>
      <w:r>
        <w:rPr>
          <w:lang w:val="en-US" w:eastAsia="zh-CN"/>
        </w:rPr>
        <w:tab/>
      </w:r>
      <w:r>
        <w:rPr>
          <w:lang w:val="en-US" w:eastAsia="zh-CN"/>
        </w:rPr>
        <w:t>Logged L1 radio measurement results including the beam identifiers associated to CSI-RS resources or SSBs (CSI-RS IDs or SSB IDs) and the corresponding measured L1-RSRPs.</w:t>
      </w:r>
    </w:p>
    <w:p w14:paraId="3FE5F728">
      <w:pPr>
        <w:rPr>
          <w:lang w:val="en-US" w:eastAsia="zh-CN"/>
        </w:rPr>
      </w:pPr>
      <w:r>
        <w:rPr>
          <w:lang w:val="en-US" w:eastAsia="zh-CN"/>
        </w:rPr>
        <w:t>The cell identity</w:t>
      </w:r>
      <w:r>
        <w:rPr>
          <w:rFonts w:hint="eastAsia"/>
          <w:lang w:val="en-US" w:eastAsia="zh-CN"/>
        </w:rPr>
        <w:t xml:space="preserve"> t</w:t>
      </w:r>
      <w:r>
        <w:rPr>
          <w:lang w:val="en-US" w:eastAsia="zh-CN"/>
        </w:rPr>
        <w:t>o be included in the measurement report is on the connecting cells and neibourgh cells (considering the AI/ML mobility). When the measurement report collection continues in some time duration, the user</w:t>
      </w:r>
      <w:r>
        <w:rPr>
          <w:rFonts w:hint="eastAsia"/>
          <w:lang w:val="en-US" w:eastAsia="zh-CN"/>
        </w:rPr>
        <w:t xml:space="preserve"> </w:t>
      </w:r>
      <w:r>
        <w:rPr>
          <w:lang w:val="en-US" w:eastAsia="zh-CN"/>
        </w:rPr>
        <w:t xml:space="preserve">trajectory/potential location/mobility pattern could be predicted. </w:t>
      </w:r>
    </w:p>
    <w:p w14:paraId="74479790">
      <w:pPr>
        <w:rPr>
          <w:lang w:val="en-US" w:eastAsia="zh-CN"/>
        </w:rPr>
      </w:pPr>
      <w:r>
        <w:rPr>
          <w:rFonts w:ascii="Times New Roman Bold" w:hAnsi="Times New Roman Bold" w:cs="Times New Roman Bold"/>
          <w:b/>
          <w:bCs/>
          <w:lang w:val="en-US" w:eastAsia="zh-CN"/>
        </w:rPr>
        <w:t xml:space="preserve">Observation #1: NW-side data collection involves sensitive information, including identifiers, radio measurements, and potentially location/mobility patterns. </w:t>
      </w:r>
    </w:p>
    <w:p w14:paraId="798E6DF0">
      <w:pPr>
        <w:pStyle w:val="3"/>
        <w:rPr>
          <w:lang w:val="en-US" w:eastAsia="en-IN"/>
        </w:rPr>
      </w:pPr>
      <w:r>
        <w:rPr>
          <w:lang w:eastAsia="en-IN"/>
        </w:rPr>
        <w:t>4.</w:t>
      </w:r>
      <w:r>
        <w:rPr>
          <w:lang w:val="en-US" w:eastAsia="en-IN"/>
        </w:rPr>
        <w:t>2</w:t>
      </w:r>
      <w:r>
        <w:rPr>
          <w:lang w:eastAsia="en-IN"/>
        </w:rPr>
        <w:t xml:space="preserve"> </w:t>
      </w:r>
      <w:r>
        <w:rPr>
          <w:lang w:val="en-US" w:eastAsia="en-IN"/>
        </w:rPr>
        <w:tab/>
      </w:r>
      <w:r>
        <w:rPr>
          <w:lang w:val="en-US" w:eastAsia="en-IN"/>
        </w:rPr>
        <w:t>The user consent requirements</w:t>
      </w:r>
      <w:r>
        <w:rPr>
          <w:lang w:eastAsia="en-IN"/>
        </w:rPr>
        <w:t xml:space="preserve"> </w:t>
      </w:r>
      <w:r>
        <w:rPr>
          <w:lang w:val="en-US" w:eastAsia="en-IN"/>
        </w:rPr>
        <w:t>and mechanisms</w:t>
      </w:r>
    </w:p>
    <w:p w14:paraId="681C8F7D">
      <w:pPr>
        <w:rPr>
          <w:rFonts w:eastAsia="等线"/>
          <w:lang w:val="en-US" w:eastAsia="zh-CN"/>
        </w:rPr>
      </w:pPr>
      <w:r>
        <w:rPr>
          <w:rFonts w:eastAsia="等线"/>
          <w:lang w:val="en-US" w:eastAsia="zh-CN"/>
        </w:rPr>
        <w:t xml:space="preserve">User consent collection is required when there is data collection from end users depending on the local regulations.  </w:t>
      </w:r>
    </w:p>
    <w:p w14:paraId="10CDF37B">
      <w:pPr>
        <w:rPr>
          <w:rFonts w:hint="eastAsia" w:eastAsia="等线"/>
          <w:lang w:val="en-US" w:eastAsia="zh-CN"/>
        </w:rPr>
      </w:pPr>
      <w:r>
        <w:rPr>
          <w:rFonts w:eastAsia="等线"/>
          <w:lang w:val="en-US" w:eastAsia="zh-CN"/>
        </w:rPr>
        <w:t>First, NW-side data collection constitutes personal data under many relevant legal frameworks. Even without direct identifiers like SUPI or phone numbers, RRC data inherently links to specific subscriber through SUPI and enables the derivation of precise location patterns and behavioral profiles by operator’s OAM. The EU GDPR [4] (Article 4(1)), China's PIPL [5] (Article 4), Japan's APPI [6] (Article 2(1)), and South Korea's PIPA [7] (Article 2(1)) all recognize such indirectly identifiable data as protected personal information, particularly when it reveals sensitive location trails.</w:t>
      </w:r>
    </w:p>
    <w:p w14:paraId="2AB99FA1">
      <w:pPr>
        <w:rPr>
          <w:lang w:val="en-US" w:eastAsia="zh-CN"/>
        </w:rPr>
      </w:pPr>
      <w:r>
        <w:rPr>
          <w:rFonts w:eastAsia="等线"/>
          <w:lang w:val="en-US" w:eastAsia="zh-CN"/>
        </w:rPr>
        <w:t>Second, using measurement</w:t>
      </w:r>
      <w:r>
        <w:rPr>
          <w:rFonts w:hint="default" w:eastAsia="等线"/>
          <w:lang w:val="en-US" w:eastAsia="zh-CN"/>
        </w:rPr>
        <w:t xml:space="preserve"> </w:t>
      </w:r>
      <w:r>
        <w:rPr>
          <w:rFonts w:eastAsia="等线"/>
          <w:lang w:val="en-US" w:eastAsia="zh-CN"/>
        </w:rPr>
        <w:t>data for AI analytics cannot be justified under contractual necessity provisions. While basic RRC processing is essential for providing connectivity services, repurposing this data for AI-driven network optimization, predictive modeling, or commercial analytics extends beyond the "performance of contract" legal basis under Article 6(1)(b) of EU GDPR [4]. Instead, Article 6(1)(a) of EU GDPR [4] requires explicit user consent, which must be freely given, specific, informed, and unambiguous. Similarly, China's PIPL [5]</w:t>
      </w:r>
      <w:r>
        <w:t xml:space="preserve"> </w:t>
      </w:r>
      <w:r>
        <w:rPr>
          <w:rFonts w:eastAsia="等线"/>
          <w:lang w:val="en-US" w:eastAsia="zh-CN"/>
        </w:rPr>
        <w:t>(Article 29) treats such secondary processing as separate from core service functions, while Japan’s APPI [6] (Article 27) requires explicit consent for providing location data to third parties—a likely classification for AI analytics partners. South Korea’s PIPA (Article 15, 17) also establish strict consent requirements for processing location-based data for purposes beyond service provision.</w:t>
      </w:r>
    </w:p>
    <w:p w14:paraId="770766A3">
      <w:pPr>
        <w:rPr>
          <w:rFonts w:ascii="Times New Roman Bold" w:hAnsi="Times New Roman Bold" w:cs="Times New Roman Bold"/>
          <w:b/>
          <w:bCs/>
          <w:lang w:val="en-US" w:eastAsia="zh-CN"/>
        </w:rPr>
      </w:pPr>
      <w:r>
        <w:rPr>
          <w:lang w:val="en-US" w:eastAsia="zh-CN"/>
        </w:rPr>
        <w:t xml:space="preserve">The above are examples of the regulations on requesting consent of personal data collection, it doesn’t necessariliy indicate those regulations are for every region, instead, it presents the possibility and concrete examples of the regulations on user consent requirements for personal and sensitive data collection. </w:t>
      </w:r>
    </w:p>
    <w:p w14:paraId="08BE178D">
      <w:pPr>
        <w:rPr>
          <w:rFonts w:ascii="Times New Roman Bold" w:hAnsi="Times New Roman Bold" w:cs="Times New Roman Bold"/>
          <w:b/>
          <w:bCs/>
          <w:lang w:val="en-US" w:eastAsia="zh-CN"/>
        </w:rPr>
      </w:pPr>
      <w:r>
        <w:rPr>
          <w:rFonts w:hint="eastAsia" w:ascii="Times New Roman Bold" w:hAnsi="Times New Roman Bold" w:cs="Times New Roman Bold"/>
          <w:b/>
          <w:bCs/>
          <w:lang w:val="en-US" w:eastAsia="zh-CN"/>
        </w:rPr>
        <w:t>O</w:t>
      </w:r>
      <w:r>
        <w:rPr>
          <w:rFonts w:ascii="Times New Roman Bold" w:hAnsi="Times New Roman Bold" w:cs="Times New Roman Bold"/>
          <w:b/>
          <w:bCs/>
          <w:lang w:val="en-US" w:eastAsia="zh-CN"/>
        </w:rPr>
        <w:t xml:space="preserve">bservation 2: </w:t>
      </w:r>
      <w:r>
        <w:rPr>
          <w:rFonts w:hint="default" w:ascii="Times New Roman Bold" w:hAnsi="Times New Roman Bold" w:cs="Times New Roman Bold"/>
          <w:b/>
          <w:bCs/>
          <w:lang w:val="en-US" w:eastAsia="zh-CN"/>
        </w:rPr>
        <w:t>Collecting measurement</w:t>
      </w:r>
      <w:r>
        <w:rPr>
          <w:rFonts w:ascii="Times New Roman Bold" w:hAnsi="Times New Roman Bold" w:cs="Times New Roman Bold"/>
          <w:b/>
          <w:bCs/>
          <w:lang w:val="en-US" w:eastAsia="zh-CN"/>
        </w:rPr>
        <w:t xml:space="preserve"> data </w:t>
      </w:r>
      <w:r>
        <w:rPr>
          <w:rFonts w:hint="default" w:ascii="Times New Roman Bold" w:hAnsi="Times New Roman Bold" w:cs="Times New Roman Bold"/>
          <w:b/>
          <w:bCs/>
          <w:lang w:val="en-US" w:eastAsia="zh-CN"/>
        </w:rPr>
        <w:t xml:space="preserve">which </w:t>
      </w:r>
      <w:r>
        <w:rPr>
          <w:rFonts w:ascii="Times New Roman Bold" w:hAnsi="Times New Roman Bold" w:cs="Times New Roman Bold"/>
          <w:b/>
          <w:bCs/>
          <w:lang w:val="en-US" w:eastAsia="zh-CN"/>
        </w:rPr>
        <w:t>constitutes personal data</w:t>
      </w:r>
      <w:r>
        <w:rPr>
          <w:rFonts w:hint="default" w:ascii="Times New Roman Bold" w:hAnsi="Times New Roman Bold" w:cs="Times New Roman Bold"/>
          <w:b/>
          <w:bCs/>
          <w:lang w:val="en-US" w:eastAsia="zh-CN"/>
        </w:rPr>
        <w:t xml:space="preserve"> without user consent</w:t>
      </w:r>
      <w:r>
        <w:rPr>
          <w:rFonts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is not aligned with</w:t>
      </w:r>
      <w:r>
        <w:rPr>
          <w:rFonts w:ascii="Times New Roman Bold" w:hAnsi="Times New Roman Bold" w:cs="Times New Roman Bold"/>
          <w:b/>
          <w:bCs/>
          <w:lang w:val="en-US" w:eastAsia="zh-CN"/>
        </w:rPr>
        <w:t xml:space="preserve"> many relevant legal frameworks.</w:t>
      </w:r>
    </w:p>
    <w:p w14:paraId="7448C65D">
      <w:pPr>
        <w:ind w:firstLine="284"/>
        <w:rPr>
          <w:rFonts w:ascii="Times New Roman Bold" w:hAnsi="Times New Roman Bold" w:cs="Times New Roman Bold"/>
          <w:b/>
          <w:bCs/>
          <w:lang w:val="en-US" w:eastAsia="zh-CN"/>
        </w:rPr>
      </w:pPr>
      <w:r>
        <w:rPr>
          <w:rFonts w:hint="eastAsia" w:ascii="Times New Roman Bold" w:hAnsi="Times New Roman Bold" w:cs="Times New Roman Bold"/>
          <w:b/>
          <w:bCs/>
          <w:lang w:val="en-US" w:eastAsia="zh-CN"/>
        </w:rPr>
        <w:t>O</w:t>
      </w:r>
      <w:r>
        <w:rPr>
          <w:rFonts w:ascii="Times New Roman Bold" w:hAnsi="Times New Roman Bold" w:cs="Times New Roman Bold"/>
          <w:b/>
          <w:bCs/>
          <w:lang w:val="en-US" w:eastAsia="zh-CN"/>
        </w:rPr>
        <w:t>bservation 2.</w:t>
      </w:r>
      <w:r>
        <w:rPr>
          <w:rFonts w:hint="default" w:ascii="Times New Roman Bold" w:hAnsi="Times New Roman Bold" w:cs="Times New Roman Bold"/>
          <w:b/>
          <w:bCs/>
          <w:lang w:val="en-US" w:eastAsia="zh-CN"/>
        </w:rPr>
        <w:t>1</w:t>
      </w:r>
      <w:r>
        <w:rPr>
          <w:rFonts w:ascii="Times New Roman Bold" w:hAnsi="Times New Roman Bold" w:cs="Times New Roman Bold"/>
          <w:b/>
          <w:bCs/>
          <w:lang w:val="en-US" w:eastAsia="zh-CN"/>
        </w:rPr>
        <w:t xml:space="preserve">: Using </w:t>
      </w:r>
      <w:r>
        <w:rPr>
          <w:rFonts w:hint="default" w:ascii="Times New Roman Bold" w:hAnsi="Times New Roman Bold" w:cs="Times New Roman Bold"/>
          <w:b/>
          <w:bCs/>
          <w:lang w:val="en-US" w:eastAsia="zh-CN"/>
        </w:rPr>
        <w:t>measurement</w:t>
      </w:r>
      <w:r>
        <w:rPr>
          <w:rFonts w:ascii="Times New Roman Bold" w:hAnsi="Times New Roman Bold" w:cs="Times New Roman Bold"/>
          <w:b/>
          <w:bCs/>
          <w:lang w:val="en-US" w:eastAsia="zh-CN"/>
        </w:rPr>
        <w:t xml:space="preserve"> data for AI analytics cannot be justified under contractual necessity provisions.</w:t>
      </w:r>
    </w:p>
    <w:p w14:paraId="69EC6C92">
      <w:pPr>
        <w:ind w:firstLine="284"/>
        <w:rPr>
          <w:rFonts w:ascii="Times New Roman Bold" w:hAnsi="Times New Roman Bold" w:cs="Times New Roman Bold"/>
          <w:b/>
          <w:bCs/>
          <w:lang w:val="en-US" w:eastAsia="zh-CN"/>
        </w:rPr>
      </w:pPr>
      <w:r>
        <w:rPr>
          <w:rFonts w:ascii="Times New Roman Bold" w:hAnsi="Times New Roman Bold" w:cs="Times New Roman Bold"/>
          <w:b/>
          <w:bCs/>
          <w:lang w:val="en-US" w:eastAsia="zh-CN"/>
        </w:rPr>
        <w:t>Observation 2</w:t>
      </w:r>
      <w:r>
        <w:rPr>
          <w:rFonts w:hint="default" w:ascii="Times New Roman Bold" w:hAnsi="Times New Roman Bold" w:cs="Times New Roman Bold"/>
          <w:b/>
          <w:bCs/>
          <w:lang w:val="en-US" w:eastAsia="zh-CN"/>
        </w:rPr>
        <w:t>.2</w:t>
      </w:r>
      <w:r>
        <w:rPr>
          <w:rFonts w:ascii="Times New Roman Bold" w:hAnsi="Times New Roman Bold" w:cs="Times New Roman Bold"/>
          <w:b/>
          <w:bCs/>
          <w:lang w:val="en-US" w:eastAsia="zh-CN"/>
        </w:rPr>
        <w:t>: Regulations such as the EU GDPR, China's PIPL, Japan's APPI, South Korea's PIPA explicitly requests user consent for those use cases which involves the collection, storage, and processing of personal data.</w:t>
      </w:r>
    </w:p>
    <w:p w14:paraId="7000A41C">
      <w:pPr>
        <w:rPr>
          <w:lang w:val="en-US" w:eastAsia="zh-CN"/>
        </w:rPr>
      </w:pPr>
      <w:r>
        <w:rPr>
          <w:rFonts w:ascii="Times New Roman Bold" w:hAnsi="Times New Roman Bold" w:cs="Times New Roman Bold"/>
          <w:b/>
          <w:bCs/>
          <w:lang w:val="en-US" w:eastAsia="zh-CN"/>
        </w:rPr>
        <w:t xml:space="preserve">Proposal#1: Based on observation#1 and #2, </w:t>
      </w:r>
      <w:r>
        <w:rPr>
          <w:b/>
          <w:bCs/>
          <w:lang w:val="en-US" w:eastAsia="zh-CN"/>
        </w:rPr>
        <w:t xml:space="preserve">in NW-side data collection, user consent is required based on different regulations. </w:t>
      </w:r>
    </w:p>
    <w:p w14:paraId="21089C89">
      <w:pPr>
        <w:pStyle w:val="2"/>
        <w:rPr>
          <w:szCs w:val="36"/>
        </w:rPr>
      </w:pPr>
      <w:r>
        <w:rPr>
          <w:szCs w:val="36"/>
        </w:rPr>
        <w:t>5</w:t>
      </w:r>
      <w:r>
        <w:rPr>
          <w:szCs w:val="36"/>
        </w:rPr>
        <w:tab/>
      </w:r>
      <w:r>
        <w:rPr>
          <w:szCs w:val="36"/>
          <w:lang w:val="en-US"/>
        </w:rPr>
        <w:t>P</w:t>
      </w:r>
      <w:r>
        <w:rPr>
          <w:szCs w:val="36"/>
        </w:rPr>
        <w:t>roposals</w:t>
      </w:r>
      <w:bookmarkEnd w:id="1"/>
    </w:p>
    <w:p w14:paraId="6269E572">
      <w:pPr>
        <w:rPr>
          <w:lang w:val="en-US"/>
        </w:rPr>
      </w:pPr>
      <w:r>
        <w:t xml:space="preserve">Based on </w:t>
      </w:r>
      <w:r>
        <w:rPr>
          <w:lang w:val="en-US"/>
        </w:rPr>
        <w:t xml:space="preserve">analysis above, below are the proposals: </w:t>
      </w:r>
    </w:p>
    <w:p w14:paraId="139430AA">
      <w:pPr>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 SA3 confirms that in NW-side data collection used for AI/ML PHY, user consent is required based on different regulations. </w:t>
      </w:r>
    </w:p>
    <w:p w14:paraId="3CAD72F7">
      <w:pPr>
        <w:rPr>
          <w:rFonts w:hint="default" w:ascii="Times New Roman Bold" w:hAnsi="Times New Roman Bold" w:cs="Times New Roman Bold"/>
          <w:b/>
          <w:bCs/>
          <w:lang w:val="en-US" w:eastAsia="zh-CN"/>
        </w:rPr>
      </w:pPr>
      <w:r>
        <w:rPr>
          <w:rFonts w:ascii="Times New Roman Bold" w:hAnsi="Times New Roman Bold" w:cs="Times New Roman Bold"/>
          <w:b/>
          <w:bCs/>
          <w:lang w:val="en-US" w:eastAsia="zh-CN"/>
        </w:rPr>
        <w:t>Proposal #</w:t>
      </w:r>
      <w:r>
        <w:rPr>
          <w:rFonts w:hint="default" w:ascii="Times New Roman Bold" w:hAnsi="Times New Roman Bold" w:cs="Times New Roman Bold"/>
          <w:b/>
          <w:bCs/>
          <w:lang w:val="en-US" w:eastAsia="zh-CN"/>
        </w:rPr>
        <w:t>2</w:t>
      </w:r>
      <w:r>
        <w:rPr>
          <w:rFonts w:ascii="Times New Roman Bold" w:hAnsi="Times New Roman Bold" w:cs="Times New Roman Bold"/>
          <w:b/>
          <w:bCs/>
          <w:lang w:val="en-US" w:eastAsia="zh-CN"/>
        </w:rPr>
        <w:t>: It is suggeste</w:t>
      </w:r>
      <w:bookmarkStart w:id="2" w:name="_GoBack"/>
      <w:bookmarkEnd w:id="2"/>
      <w:r>
        <w:rPr>
          <w:rFonts w:ascii="Times New Roman Bold" w:hAnsi="Times New Roman Bold" w:cs="Times New Roman Bold"/>
          <w:b/>
          <w:bCs/>
          <w:lang w:val="en-US" w:eastAsia="zh-CN"/>
        </w:rPr>
        <w:t>d SA3 sends reply to RAN2/RAN3</w:t>
      </w:r>
      <w:r>
        <w:rPr>
          <w:rFonts w:hint="default" w:ascii="Times New Roman Bold" w:hAnsi="Times New Roman Bold" w:cs="Times New Roman Bold"/>
          <w:b/>
          <w:bCs/>
          <w:lang w:val="en-US" w:eastAsia="zh-CN"/>
        </w:rPr>
        <w:t>/SA5</w:t>
      </w:r>
      <w:r>
        <w:rPr>
          <w:rFonts w:ascii="Times New Roman Bold" w:hAnsi="Times New Roman Bold" w:cs="Times New Roman Bold"/>
          <w:b/>
          <w:bCs/>
          <w:lang w:val="en-US" w:eastAsia="zh-CN"/>
        </w:rPr>
        <w:t xml:space="preserve"> in </w:t>
      </w:r>
      <w:r>
        <w:rPr>
          <w:rFonts w:ascii="Times New Roman Bold" w:hAnsi="Times New Roman Bold" w:cs="Times New Roman Bold"/>
          <w:b/>
          <w:bCs/>
          <w:highlight w:val="yellow"/>
          <w:lang w:val="en-US" w:eastAsia="zh-CN"/>
        </w:rPr>
        <w:t>S3-2</w:t>
      </w:r>
      <w:r>
        <w:rPr>
          <w:rFonts w:hint="default" w:ascii="Times New Roman Bold" w:hAnsi="Times New Roman Bold" w:cs="Times New Roman Bold"/>
          <w:b/>
          <w:bCs/>
          <w:highlight w:val="yellow"/>
          <w:lang w:val="en-US" w:eastAsia="zh-CN"/>
        </w:rPr>
        <w:t>60515</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502040204020203"/>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Thonburi"/>
    <w:panose1 w:val="00000000000000000000"/>
    <w:charset w:val="02"/>
    <w:family w:val="modern"/>
    <w:pitch w:val="default"/>
    <w:sig w:usb0="00000000" w:usb1="00000000" w:usb2="00000000" w:usb3="00000000" w:csb0="00000000" w:csb1="00000000"/>
  </w:font>
  <w:font w:name="MS Mincho">
    <w:altName w:val="Hiragino Sans"/>
    <w:panose1 w:val="02020609040205080304"/>
    <w:charset w:val="80"/>
    <w:family w:val="roman"/>
    <w:pitch w:val="default"/>
    <w:sig w:usb0="00000000" w:usb1="00000000" w:usb2="08000012" w:usb3="00000000" w:csb0="0002009F" w:csb1="00000000"/>
  </w:font>
  <w:font w:name="微软雅黑">
    <w:altName w:val="汉仪旗黑"/>
    <w:panose1 w:val="020B0503020204020204"/>
    <w:charset w:val="86"/>
    <w:family w:val="swiss"/>
    <w:pitch w:val="default"/>
    <w:sig w:usb0="00000000" w:usb1="00000000" w:usb2="00000016" w:usb3="00000000" w:csb0="0004001F"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Arial Unicode MS">
    <w:panose1 w:val="020B0604020202020204"/>
    <w:charset w:val="86"/>
    <w:family w:val="auto"/>
    <w:pitch w:val="default"/>
    <w:sig w:usb0="FFFFFFFF" w:usb1="E9FFFFFF" w:usb2="0000003F" w:usb3="00000000" w:csb0="603F01FF" w:csb1="FFFF0000"/>
  </w:font>
  <w:font w:name="汉仪旗黑">
    <w:panose1 w:val="00020600040101010101"/>
    <w:charset w:val="86"/>
    <w:family w:val="auto"/>
    <w:pitch w:val="default"/>
    <w:sig w:usb0="A00002BF" w:usb1="1ACF7CFA" w:usb2="00000016" w:usb3="00000000" w:csb0="0004009F" w:csb1="DFD70000"/>
  </w:font>
  <w:font w:name="汉仪中等线KW">
    <w:panose1 w:val="01010104010101010101"/>
    <w:charset w:val="86"/>
    <w:family w:val="auto"/>
    <w:pitch w:val="default"/>
    <w:sig w:usb0="800002BF" w:usb1="004F7CFA" w:usb2="00000000" w:usb3="00000000" w:csb0="00040001"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 w:name="Hiragino Sans">
    <w:panose1 w:val="020B0300000000000000"/>
    <w:charset w:val="80"/>
    <w:family w:val="auto"/>
    <w:pitch w:val="default"/>
    <w:sig w:usb0="E00002FF" w:usb1="7AE7FFFF" w:usb2="00000012" w:usb3="00000000" w:csb0="0002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71"/>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7"/>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Mq0FAFSSqYUtAAAA"/>
    <w:docVar w:name="commondata" w:val="eyJoZGlkIjoiY2FhYmU1NGViNDhiZDEzOGIyMWU0MDZmNDk4ZmRmOWQifQ=="/>
  </w:docVars>
  <w:rsids>
    <w:rsidRoot w:val="00E30155"/>
    <w:rsid w:val="0000082A"/>
    <w:rsid w:val="0000758D"/>
    <w:rsid w:val="000113C4"/>
    <w:rsid w:val="00011E6C"/>
    <w:rsid w:val="000123AB"/>
    <w:rsid w:val="00012515"/>
    <w:rsid w:val="00016AC5"/>
    <w:rsid w:val="00017389"/>
    <w:rsid w:val="00021A9D"/>
    <w:rsid w:val="0002497E"/>
    <w:rsid w:val="00025250"/>
    <w:rsid w:val="00025526"/>
    <w:rsid w:val="00032521"/>
    <w:rsid w:val="0003364E"/>
    <w:rsid w:val="000419D4"/>
    <w:rsid w:val="00046389"/>
    <w:rsid w:val="00051CB6"/>
    <w:rsid w:val="000572B6"/>
    <w:rsid w:val="00063138"/>
    <w:rsid w:val="00070101"/>
    <w:rsid w:val="00070D9E"/>
    <w:rsid w:val="00074722"/>
    <w:rsid w:val="000758CD"/>
    <w:rsid w:val="00080BD5"/>
    <w:rsid w:val="000819D8"/>
    <w:rsid w:val="0008310C"/>
    <w:rsid w:val="00084ED9"/>
    <w:rsid w:val="00086145"/>
    <w:rsid w:val="00090F8A"/>
    <w:rsid w:val="000934A6"/>
    <w:rsid w:val="00093956"/>
    <w:rsid w:val="0009432B"/>
    <w:rsid w:val="0009446D"/>
    <w:rsid w:val="000A1844"/>
    <w:rsid w:val="000A2C6C"/>
    <w:rsid w:val="000A4660"/>
    <w:rsid w:val="000A6269"/>
    <w:rsid w:val="000A6E50"/>
    <w:rsid w:val="000A797D"/>
    <w:rsid w:val="000C1CD5"/>
    <w:rsid w:val="000C4371"/>
    <w:rsid w:val="000C7F83"/>
    <w:rsid w:val="000D1B5B"/>
    <w:rsid w:val="000D27E5"/>
    <w:rsid w:val="000D2E20"/>
    <w:rsid w:val="000D4140"/>
    <w:rsid w:val="000D6B0F"/>
    <w:rsid w:val="000E1066"/>
    <w:rsid w:val="000E1FCD"/>
    <w:rsid w:val="000F5B55"/>
    <w:rsid w:val="000F6C45"/>
    <w:rsid w:val="0010306E"/>
    <w:rsid w:val="0010401F"/>
    <w:rsid w:val="0010618C"/>
    <w:rsid w:val="0011129A"/>
    <w:rsid w:val="0011155B"/>
    <w:rsid w:val="00112865"/>
    <w:rsid w:val="00112FC3"/>
    <w:rsid w:val="0011552F"/>
    <w:rsid w:val="00116F47"/>
    <w:rsid w:val="00124C15"/>
    <w:rsid w:val="00127AB3"/>
    <w:rsid w:val="0013563B"/>
    <w:rsid w:val="00136C79"/>
    <w:rsid w:val="00137905"/>
    <w:rsid w:val="00141701"/>
    <w:rsid w:val="0014434E"/>
    <w:rsid w:val="001447B0"/>
    <w:rsid w:val="00145437"/>
    <w:rsid w:val="00145DF9"/>
    <w:rsid w:val="001571F4"/>
    <w:rsid w:val="00160A14"/>
    <w:rsid w:val="00161E5D"/>
    <w:rsid w:val="00165B9A"/>
    <w:rsid w:val="001662C0"/>
    <w:rsid w:val="00167D68"/>
    <w:rsid w:val="00173FA3"/>
    <w:rsid w:val="00177105"/>
    <w:rsid w:val="00184B6F"/>
    <w:rsid w:val="001861E5"/>
    <w:rsid w:val="0019570E"/>
    <w:rsid w:val="001A1C4B"/>
    <w:rsid w:val="001A3AE3"/>
    <w:rsid w:val="001A491C"/>
    <w:rsid w:val="001B1652"/>
    <w:rsid w:val="001B2386"/>
    <w:rsid w:val="001C3EC8"/>
    <w:rsid w:val="001C4D89"/>
    <w:rsid w:val="001D10A5"/>
    <w:rsid w:val="001D145C"/>
    <w:rsid w:val="001D2BD4"/>
    <w:rsid w:val="001D4333"/>
    <w:rsid w:val="001D59AC"/>
    <w:rsid w:val="001D654F"/>
    <w:rsid w:val="001D6911"/>
    <w:rsid w:val="001D7E16"/>
    <w:rsid w:val="001E1B89"/>
    <w:rsid w:val="001F3AA5"/>
    <w:rsid w:val="001F4EAA"/>
    <w:rsid w:val="001F6530"/>
    <w:rsid w:val="00201947"/>
    <w:rsid w:val="00201D66"/>
    <w:rsid w:val="00202FD6"/>
    <w:rsid w:val="0020395B"/>
    <w:rsid w:val="002046CB"/>
    <w:rsid w:val="00204C15"/>
    <w:rsid w:val="00204DC9"/>
    <w:rsid w:val="002062C0"/>
    <w:rsid w:val="00210817"/>
    <w:rsid w:val="002112D2"/>
    <w:rsid w:val="0021221B"/>
    <w:rsid w:val="00215130"/>
    <w:rsid w:val="00215518"/>
    <w:rsid w:val="002202A5"/>
    <w:rsid w:val="00230002"/>
    <w:rsid w:val="0023514C"/>
    <w:rsid w:val="00243645"/>
    <w:rsid w:val="00244C9A"/>
    <w:rsid w:val="00246341"/>
    <w:rsid w:val="00247216"/>
    <w:rsid w:val="00251254"/>
    <w:rsid w:val="002535F1"/>
    <w:rsid w:val="00262E14"/>
    <w:rsid w:val="00267DD9"/>
    <w:rsid w:val="00270332"/>
    <w:rsid w:val="002861EA"/>
    <w:rsid w:val="002942E3"/>
    <w:rsid w:val="002A1486"/>
    <w:rsid w:val="002A1857"/>
    <w:rsid w:val="002A62AE"/>
    <w:rsid w:val="002B0BBC"/>
    <w:rsid w:val="002B22DB"/>
    <w:rsid w:val="002B543F"/>
    <w:rsid w:val="002B6772"/>
    <w:rsid w:val="002C7F38"/>
    <w:rsid w:val="002D7F9D"/>
    <w:rsid w:val="002E2614"/>
    <w:rsid w:val="002E5B3B"/>
    <w:rsid w:val="002E7E73"/>
    <w:rsid w:val="002F1AB9"/>
    <w:rsid w:val="002F4CCC"/>
    <w:rsid w:val="0030542C"/>
    <w:rsid w:val="0030628A"/>
    <w:rsid w:val="0031206B"/>
    <w:rsid w:val="00315D1C"/>
    <w:rsid w:val="00317AE4"/>
    <w:rsid w:val="00323F79"/>
    <w:rsid w:val="003320C2"/>
    <w:rsid w:val="003323B1"/>
    <w:rsid w:val="00333ED5"/>
    <w:rsid w:val="003352B0"/>
    <w:rsid w:val="00344F3E"/>
    <w:rsid w:val="0035122B"/>
    <w:rsid w:val="00352F7B"/>
    <w:rsid w:val="00353451"/>
    <w:rsid w:val="00353EC0"/>
    <w:rsid w:val="00357608"/>
    <w:rsid w:val="0035791B"/>
    <w:rsid w:val="00366352"/>
    <w:rsid w:val="00371032"/>
    <w:rsid w:val="00371B44"/>
    <w:rsid w:val="00371C37"/>
    <w:rsid w:val="00374299"/>
    <w:rsid w:val="0037799E"/>
    <w:rsid w:val="00380857"/>
    <w:rsid w:val="00381383"/>
    <w:rsid w:val="0038278C"/>
    <w:rsid w:val="003875BB"/>
    <w:rsid w:val="00390A1D"/>
    <w:rsid w:val="00394329"/>
    <w:rsid w:val="003A2B9B"/>
    <w:rsid w:val="003A3BE2"/>
    <w:rsid w:val="003A576D"/>
    <w:rsid w:val="003B48C3"/>
    <w:rsid w:val="003B7A3F"/>
    <w:rsid w:val="003C01E0"/>
    <w:rsid w:val="003C122B"/>
    <w:rsid w:val="003C2E76"/>
    <w:rsid w:val="003C3CA8"/>
    <w:rsid w:val="003C5A97"/>
    <w:rsid w:val="003C7A04"/>
    <w:rsid w:val="003D0C08"/>
    <w:rsid w:val="003D21AF"/>
    <w:rsid w:val="003D399D"/>
    <w:rsid w:val="003D40C7"/>
    <w:rsid w:val="003D6BBE"/>
    <w:rsid w:val="003E44D8"/>
    <w:rsid w:val="003F52B2"/>
    <w:rsid w:val="003F55DF"/>
    <w:rsid w:val="003F612D"/>
    <w:rsid w:val="003F6189"/>
    <w:rsid w:val="00404498"/>
    <w:rsid w:val="00412810"/>
    <w:rsid w:val="0041512C"/>
    <w:rsid w:val="00421A26"/>
    <w:rsid w:val="00430A34"/>
    <w:rsid w:val="00430E7C"/>
    <w:rsid w:val="00432A25"/>
    <w:rsid w:val="00440414"/>
    <w:rsid w:val="00443F99"/>
    <w:rsid w:val="00445239"/>
    <w:rsid w:val="004469C0"/>
    <w:rsid w:val="00451AF6"/>
    <w:rsid w:val="004558E9"/>
    <w:rsid w:val="0045777E"/>
    <w:rsid w:val="00470EAB"/>
    <w:rsid w:val="00474440"/>
    <w:rsid w:val="00485FA2"/>
    <w:rsid w:val="0048635A"/>
    <w:rsid w:val="00491523"/>
    <w:rsid w:val="004948D6"/>
    <w:rsid w:val="0049598C"/>
    <w:rsid w:val="004959AC"/>
    <w:rsid w:val="00497477"/>
    <w:rsid w:val="004B0E66"/>
    <w:rsid w:val="004B3753"/>
    <w:rsid w:val="004B3B12"/>
    <w:rsid w:val="004C0162"/>
    <w:rsid w:val="004C31D2"/>
    <w:rsid w:val="004C3D6F"/>
    <w:rsid w:val="004C3F92"/>
    <w:rsid w:val="004D55C2"/>
    <w:rsid w:val="004D6908"/>
    <w:rsid w:val="004E123E"/>
    <w:rsid w:val="004E1DF2"/>
    <w:rsid w:val="004E2AB5"/>
    <w:rsid w:val="004E4C5E"/>
    <w:rsid w:val="004F01D7"/>
    <w:rsid w:val="004F3275"/>
    <w:rsid w:val="0050157B"/>
    <w:rsid w:val="0050645D"/>
    <w:rsid w:val="00506F6A"/>
    <w:rsid w:val="00513A65"/>
    <w:rsid w:val="00514742"/>
    <w:rsid w:val="00515069"/>
    <w:rsid w:val="00521131"/>
    <w:rsid w:val="005245DD"/>
    <w:rsid w:val="00524B42"/>
    <w:rsid w:val="00527C0B"/>
    <w:rsid w:val="005304C7"/>
    <w:rsid w:val="0053422C"/>
    <w:rsid w:val="0053733F"/>
    <w:rsid w:val="005410F6"/>
    <w:rsid w:val="00547063"/>
    <w:rsid w:val="00555AAC"/>
    <w:rsid w:val="0056169B"/>
    <w:rsid w:val="00563DFC"/>
    <w:rsid w:val="00570504"/>
    <w:rsid w:val="00571AF0"/>
    <w:rsid w:val="005729C4"/>
    <w:rsid w:val="00575466"/>
    <w:rsid w:val="00582D06"/>
    <w:rsid w:val="00584358"/>
    <w:rsid w:val="0059227B"/>
    <w:rsid w:val="005A0A92"/>
    <w:rsid w:val="005A426D"/>
    <w:rsid w:val="005A7FC4"/>
    <w:rsid w:val="005B0966"/>
    <w:rsid w:val="005B4B47"/>
    <w:rsid w:val="005B795D"/>
    <w:rsid w:val="005D2931"/>
    <w:rsid w:val="005F0C43"/>
    <w:rsid w:val="0060514A"/>
    <w:rsid w:val="006055F7"/>
    <w:rsid w:val="006108BF"/>
    <w:rsid w:val="00611C66"/>
    <w:rsid w:val="00612481"/>
    <w:rsid w:val="00612898"/>
    <w:rsid w:val="00613820"/>
    <w:rsid w:val="006152C0"/>
    <w:rsid w:val="00616AB2"/>
    <w:rsid w:val="0062549F"/>
    <w:rsid w:val="00626B5D"/>
    <w:rsid w:val="00640499"/>
    <w:rsid w:val="00640739"/>
    <w:rsid w:val="006413A5"/>
    <w:rsid w:val="0064390F"/>
    <w:rsid w:val="00647B64"/>
    <w:rsid w:val="00652248"/>
    <w:rsid w:val="006524B8"/>
    <w:rsid w:val="00655D2E"/>
    <w:rsid w:val="0065786D"/>
    <w:rsid w:val="00657B80"/>
    <w:rsid w:val="00661E74"/>
    <w:rsid w:val="00664EF2"/>
    <w:rsid w:val="00665C5D"/>
    <w:rsid w:val="0066724D"/>
    <w:rsid w:val="00667FF2"/>
    <w:rsid w:val="00673D9A"/>
    <w:rsid w:val="00675B3C"/>
    <w:rsid w:val="00684CF7"/>
    <w:rsid w:val="00687F3E"/>
    <w:rsid w:val="0069495C"/>
    <w:rsid w:val="006C0033"/>
    <w:rsid w:val="006D1F03"/>
    <w:rsid w:val="006D340A"/>
    <w:rsid w:val="006D43F1"/>
    <w:rsid w:val="006D55E5"/>
    <w:rsid w:val="006D7DB6"/>
    <w:rsid w:val="006E15F4"/>
    <w:rsid w:val="006E616A"/>
    <w:rsid w:val="006E6A3D"/>
    <w:rsid w:val="006F2F0A"/>
    <w:rsid w:val="006F3A1E"/>
    <w:rsid w:val="006F4565"/>
    <w:rsid w:val="00703072"/>
    <w:rsid w:val="00705B4C"/>
    <w:rsid w:val="00707C42"/>
    <w:rsid w:val="0071254E"/>
    <w:rsid w:val="00713443"/>
    <w:rsid w:val="00715A1D"/>
    <w:rsid w:val="007355B0"/>
    <w:rsid w:val="007428F0"/>
    <w:rsid w:val="00754F7C"/>
    <w:rsid w:val="00756D30"/>
    <w:rsid w:val="00760BB0"/>
    <w:rsid w:val="0076157A"/>
    <w:rsid w:val="007616E6"/>
    <w:rsid w:val="00764853"/>
    <w:rsid w:val="0077165F"/>
    <w:rsid w:val="00772CD8"/>
    <w:rsid w:val="007766CB"/>
    <w:rsid w:val="00777DF0"/>
    <w:rsid w:val="00784593"/>
    <w:rsid w:val="00793C54"/>
    <w:rsid w:val="007A00EF"/>
    <w:rsid w:val="007A5F41"/>
    <w:rsid w:val="007B19EA"/>
    <w:rsid w:val="007B2B5D"/>
    <w:rsid w:val="007B5666"/>
    <w:rsid w:val="007C0A2D"/>
    <w:rsid w:val="007C260F"/>
    <w:rsid w:val="007C27B0"/>
    <w:rsid w:val="007D059C"/>
    <w:rsid w:val="007D3469"/>
    <w:rsid w:val="007E381B"/>
    <w:rsid w:val="007E537E"/>
    <w:rsid w:val="007E7255"/>
    <w:rsid w:val="007F05BA"/>
    <w:rsid w:val="007F300B"/>
    <w:rsid w:val="007F46F8"/>
    <w:rsid w:val="007F5722"/>
    <w:rsid w:val="008004B8"/>
    <w:rsid w:val="008014C3"/>
    <w:rsid w:val="00806486"/>
    <w:rsid w:val="00810E8E"/>
    <w:rsid w:val="00811229"/>
    <w:rsid w:val="008175DC"/>
    <w:rsid w:val="008204C7"/>
    <w:rsid w:val="00822909"/>
    <w:rsid w:val="0083194E"/>
    <w:rsid w:val="008365A5"/>
    <w:rsid w:val="008426C5"/>
    <w:rsid w:val="00844895"/>
    <w:rsid w:val="00850812"/>
    <w:rsid w:val="00852483"/>
    <w:rsid w:val="0085332E"/>
    <w:rsid w:val="00853B1F"/>
    <w:rsid w:val="00854EE2"/>
    <w:rsid w:val="0086178C"/>
    <w:rsid w:val="00867DBE"/>
    <w:rsid w:val="008729AC"/>
    <w:rsid w:val="00872E07"/>
    <w:rsid w:val="00874A78"/>
    <w:rsid w:val="00874B12"/>
    <w:rsid w:val="00876B9A"/>
    <w:rsid w:val="00876F44"/>
    <w:rsid w:val="0087749A"/>
    <w:rsid w:val="0088347A"/>
    <w:rsid w:val="008841F2"/>
    <w:rsid w:val="0088776C"/>
    <w:rsid w:val="008933BF"/>
    <w:rsid w:val="008A10C4"/>
    <w:rsid w:val="008A43DE"/>
    <w:rsid w:val="008A4DE8"/>
    <w:rsid w:val="008B0248"/>
    <w:rsid w:val="008B0969"/>
    <w:rsid w:val="008B313F"/>
    <w:rsid w:val="008B3815"/>
    <w:rsid w:val="008C17C9"/>
    <w:rsid w:val="008D0F68"/>
    <w:rsid w:val="008D1D3D"/>
    <w:rsid w:val="008D5D2F"/>
    <w:rsid w:val="008D6004"/>
    <w:rsid w:val="008F52E9"/>
    <w:rsid w:val="008F5F33"/>
    <w:rsid w:val="008F6E4B"/>
    <w:rsid w:val="008F7A14"/>
    <w:rsid w:val="008F7D8C"/>
    <w:rsid w:val="0090006F"/>
    <w:rsid w:val="00900C06"/>
    <w:rsid w:val="00902B02"/>
    <w:rsid w:val="00904811"/>
    <w:rsid w:val="00904D59"/>
    <w:rsid w:val="0091046A"/>
    <w:rsid w:val="00913CD4"/>
    <w:rsid w:val="00915425"/>
    <w:rsid w:val="00916BDB"/>
    <w:rsid w:val="00920DE6"/>
    <w:rsid w:val="009262A8"/>
    <w:rsid w:val="00926ABD"/>
    <w:rsid w:val="009279B2"/>
    <w:rsid w:val="00936243"/>
    <w:rsid w:val="00947CC8"/>
    <w:rsid w:val="00947F20"/>
    <w:rsid w:val="00947F4E"/>
    <w:rsid w:val="0095027B"/>
    <w:rsid w:val="009564A9"/>
    <w:rsid w:val="009600D2"/>
    <w:rsid w:val="00966116"/>
    <w:rsid w:val="00966D47"/>
    <w:rsid w:val="009744EC"/>
    <w:rsid w:val="009750AF"/>
    <w:rsid w:val="00980192"/>
    <w:rsid w:val="0098391E"/>
    <w:rsid w:val="00992312"/>
    <w:rsid w:val="00994F4E"/>
    <w:rsid w:val="00996999"/>
    <w:rsid w:val="00997918"/>
    <w:rsid w:val="009A0B20"/>
    <w:rsid w:val="009A1CB6"/>
    <w:rsid w:val="009A2A3E"/>
    <w:rsid w:val="009A56B8"/>
    <w:rsid w:val="009A6B05"/>
    <w:rsid w:val="009B3B26"/>
    <w:rsid w:val="009C0DED"/>
    <w:rsid w:val="009C1A85"/>
    <w:rsid w:val="009C20C7"/>
    <w:rsid w:val="009C43A9"/>
    <w:rsid w:val="009C4695"/>
    <w:rsid w:val="009D1DA9"/>
    <w:rsid w:val="009D38DE"/>
    <w:rsid w:val="009D5A70"/>
    <w:rsid w:val="009E133A"/>
    <w:rsid w:val="009E7245"/>
    <w:rsid w:val="00A013E6"/>
    <w:rsid w:val="00A03504"/>
    <w:rsid w:val="00A03FC0"/>
    <w:rsid w:val="00A11B36"/>
    <w:rsid w:val="00A12869"/>
    <w:rsid w:val="00A147F4"/>
    <w:rsid w:val="00A175DC"/>
    <w:rsid w:val="00A2128E"/>
    <w:rsid w:val="00A21993"/>
    <w:rsid w:val="00A22752"/>
    <w:rsid w:val="00A32237"/>
    <w:rsid w:val="00A33693"/>
    <w:rsid w:val="00A37D7F"/>
    <w:rsid w:val="00A37E48"/>
    <w:rsid w:val="00A40F43"/>
    <w:rsid w:val="00A41232"/>
    <w:rsid w:val="00A44A08"/>
    <w:rsid w:val="00A46410"/>
    <w:rsid w:val="00A47A59"/>
    <w:rsid w:val="00A5194E"/>
    <w:rsid w:val="00A5268E"/>
    <w:rsid w:val="00A54124"/>
    <w:rsid w:val="00A54402"/>
    <w:rsid w:val="00A5448F"/>
    <w:rsid w:val="00A5554F"/>
    <w:rsid w:val="00A55D8F"/>
    <w:rsid w:val="00A57688"/>
    <w:rsid w:val="00A60108"/>
    <w:rsid w:val="00A61025"/>
    <w:rsid w:val="00A61307"/>
    <w:rsid w:val="00A65869"/>
    <w:rsid w:val="00A72813"/>
    <w:rsid w:val="00A756BF"/>
    <w:rsid w:val="00A82CB8"/>
    <w:rsid w:val="00A84A94"/>
    <w:rsid w:val="00A86BF7"/>
    <w:rsid w:val="00A870DE"/>
    <w:rsid w:val="00A959C4"/>
    <w:rsid w:val="00A968BF"/>
    <w:rsid w:val="00A96B4A"/>
    <w:rsid w:val="00AA04EF"/>
    <w:rsid w:val="00AA1497"/>
    <w:rsid w:val="00AA7D5F"/>
    <w:rsid w:val="00AB14DE"/>
    <w:rsid w:val="00AC21D3"/>
    <w:rsid w:val="00AC47AD"/>
    <w:rsid w:val="00AD190E"/>
    <w:rsid w:val="00AD1DAA"/>
    <w:rsid w:val="00AD546E"/>
    <w:rsid w:val="00AE66EC"/>
    <w:rsid w:val="00AF1E23"/>
    <w:rsid w:val="00AF7F81"/>
    <w:rsid w:val="00B01AFF"/>
    <w:rsid w:val="00B0477D"/>
    <w:rsid w:val="00B04F09"/>
    <w:rsid w:val="00B05CC7"/>
    <w:rsid w:val="00B14B6A"/>
    <w:rsid w:val="00B16AE6"/>
    <w:rsid w:val="00B27E39"/>
    <w:rsid w:val="00B33EE0"/>
    <w:rsid w:val="00B350D8"/>
    <w:rsid w:val="00B363B4"/>
    <w:rsid w:val="00B5545D"/>
    <w:rsid w:val="00B67757"/>
    <w:rsid w:val="00B72527"/>
    <w:rsid w:val="00B76763"/>
    <w:rsid w:val="00B7732B"/>
    <w:rsid w:val="00B83463"/>
    <w:rsid w:val="00B879F0"/>
    <w:rsid w:val="00B964DF"/>
    <w:rsid w:val="00BA0741"/>
    <w:rsid w:val="00BA445F"/>
    <w:rsid w:val="00BA5B81"/>
    <w:rsid w:val="00BB2EE4"/>
    <w:rsid w:val="00BC0C6B"/>
    <w:rsid w:val="00BC25AA"/>
    <w:rsid w:val="00BC2CE8"/>
    <w:rsid w:val="00BC7246"/>
    <w:rsid w:val="00BC73C2"/>
    <w:rsid w:val="00BD6321"/>
    <w:rsid w:val="00BD73BA"/>
    <w:rsid w:val="00BE3B9A"/>
    <w:rsid w:val="00BE6185"/>
    <w:rsid w:val="00BF0D80"/>
    <w:rsid w:val="00BF2C84"/>
    <w:rsid w:val="00C01521"/>
    <w:rsid w:val="00C022E3"/>
    <w:rsid w:val="00C048A9"/>
    <w:rsid w:val="00C05C68"/>
    <w:rsid w:val="00C06210"/>
    <w:rsid w:val="00C12D2B"/>
    <w:rsid w:val="00C16A57"/>
    <w:rsid w:val="00C17C88"/>
    <w:rsid w:val="00C17DCC"/>
    <w:rsid w:val="00C25B24"/>
    <w:rsid w:val="00C25EA3"/>
    <w:rsid w:val="00C306F2"/>
    <w:rsid w:val="00C4394B"/>
    <w:rsid w:val="00C468E3"/>
    <w:rsid w:val="00C4712D"/>
    <w:rsid w:val="00C51E6D"/>
    <w:rsid w:val="00C555C9"/>
    <w:rsid w:val="00C6035E"/>
    <w:rsid w:val="00C61998"/>
    <w:rsid w:val="00C62448"/>
    <w:rsid w:val="00C62BC2"/>
    <w:rsid w:val="00C70122"/>
    <w:rsid w:val="00C82277"/>
    <w:rsid w:val="00C840B7"/>
    <w:rsid w:val="00C87552"/>
    <w:rsid w:val="00C9084A"/>
    <w:rsid w:val="00C94489"/>
    <w:rsid w:val="00C94F55"/>
    <w:rsid w:val="00C9683B"/>
    <w:rsid w:val="00CA3089"/>
    <w:rsid w:val="00CA7D62"/>
    <w:rsid w:val="00CB07A8"/>
    <w:rsid w:val="00CB2FDF"/>
    <w:rsid w:val="00CB5119"/>
    <w:rsid w:val="00CC3977"/>
    <w:rsid w:val="00CC70DA"/>
    <w:rsid w:val="00CD4A57"/>
    <w:rsid w:val="00CE1C5B"/>
    <w:rsid w:val="00CF3393"/>
    <w:rsid w:val="00CF66B7"/>
    <w:rsid w:val="00D0392B"/>
    <w:rsid w:val="00D06626"/>
    <w:rsid w:val="00D07CD6"/>
    <w:rsid w:val="00D11F62"/>
    <w:rsid w:val="00D15533"/>
    <w:rsid w:val="00D21C9F"/>
    <w:rsid w:val="00D26413"/>
    <w:rsid w:val="00D33604"/>
    <w:rsid w:val="00D33F33"/>
    <w:rsid w:val="00D34446"/>
    <w:rsid w:val="00D37B08"/>
    <w:rsid w:val="00D4273A"/>
    <w:rsid w:val="00D42AA1"/>
    <w:rsid w:val="00D437FF"/>
    <w:rsid w:val="00D47302"/>
    <w:rsid w:val="00D50C47"/>
    <w:rsid w:val="00D5130C"/>
    <w:rsid w:val="00D53B44"/>
    <w:rsid w:val="00D53DA0"/>
    <w:rsid w:val="00D5561C"/>
    <w:rsid w:val="00D563B2"/>
    <w:rsid w:val="00D56793"/>
    <w:rsid w:val="00D57572"/>
    <w:rsid w:val="00D61819"/>
    <w:rsid w:val="00D61AA2"/>
    <w:rsid w:val="00D62265"/>
    <w:rsid w:val="00D64503"/>
    <w:rsid w:val="00D67D25"/>
    <w:rsid w:val="00D77B05"/>
    <w:rsid w:val="00D80161"/>
    <w:rsid w:val="00D8512E"/>
    <w:rsid w:val="00DA1E58"/>
    <w:rsid w:val="00DA29BE"/>
    <w:rsid w:val="00DA5E30"/>
    <w:rsid w:val="00DA7002"/>
    <w:rsid w:val="00DB18C5"/>
    <w:rsid w:val="00DB21DB"/>
    <w:rsid w:val="00DC55EC"/>
    <w:rsid w:val="00DD11C0"/>
    <w:rsid w:val="00DD1DCA"/>
    <w:rsid w:val="00DD2A0F"/>
    <w:rsid w:val="00DD6F7E"/>
    <w:rsid w:val="00DE1359"/>
    <w:rsid w:val="00DE2B85"/>
    <w:rsid w:val="00DE4EF2"/>
    <w:rsid w:val="00DE6DEE"/>
    <w:rsid w:val="00DF0967"/>
    <w:rsid w:val="00DF2C0E"/>
    <w:rsid w:val="00E03586"/>
    <w:rsid w:val="00E04DB6"/>
    <w:rsid w:val="00E06FFB"/>
    <w:rsid w:val="00E12024"/>
    <w:rsid w:val="00E123A9"/>
    <w:rsid w:val="00E14051"/>
    <w:rsid w:val="00E26AE1"/>
    <w:rsid w:val="00E30155"/>
    <w:rsid w:val="00E35268"/>
    <w:rsid w:val="00E410FA"/>
    <w:rsid w:val="00E412A4"/>
    <w:rsid w:val="00E422AF"/>
    <w:rsid w:val="00E4405A"/>
    <w:rsid w:val="00E55BB5"/>
    <w:rsid w:val="00E610CF"/>
    <w:rsid w:val="00E70454"/>
    <w:rsid w:val="00E7047E"/>
    <w:rsid w:val="00E84AAC"/>
    <w:rsid w:val="00E91FE1"/>
    <w:rsid w:val="00E94349"/>
    <w:rsid w:val="00E96F3B"/>
    <w:rsid w:val="00EA0E5E"/>
    <w:rsid w:val="00EA1B9C"/>
    <w:rsid w:val="00EA27E3"/>
    <w:rsid w:val="00EA5E95"/>
    <w:rsid w:val="00EB1CF6"/>
    <w:rsid w:val="00EB2373"/>
    <w:rsid w:val="00EB4A74"/>
    <w:rsid w:val="00EB6331"/>
    <w:rsid w:val="00EC4E46"/>
    <w:rsid w:val="00EC797C"/>
    <w:rsid w:val="00EC7C88"/>
    <w:rsid w:val="00ED2A5C"/>
    <w:rsid w:val="00ED450C"/>
    <w:rsid w:val="00ED4954"/>
    <w:rsid w:val="00EE0943"/>
    <w:rsid w:val="00EE33A2"/>
    <w:rsid w:val="00EF44DC"/>
    <w:rsid w:val="00EF741C"/>
    <w:rsid w:val="00F02669"/>
    <w:rsid w:val="00F0643B"/>
    <w:rsid w:val="00F1329A"/>
    <w:rsid w:val="00F133DF"/>
    <w:rsid w:val="00F1552E"/>
    <w:rsid w:val="00F21F51"/>
    <w:rsid w:val="00F22013"/>
    <w:rsid w:val="00F236A2"/>
    <w:rsid w:val="00F25FC7"/>
    <w:rsid w:val="00F262ED"/>
    <w:rsid w:val="00F27913"/>
    <w:rsid w:val="00F3384C"/>
    <w:rsid w:val="00F36DC3"/>
    <w:rsid w:val="00F4091B"/>
    <w:rsid w:val="00F4400D"/>
    <w:rsid w:val="00F4437F"/>
    <w:rsid w:val="00F44F50"/>
    <w:rsid w:val="00F52B74"/>
    <w:rsid w:val="00F61F07"/>
    <w:rsid w:val="00F62D19"/>
    <w:rsid w:val="00F6426B"/>
    <w:rsid w:val="00F64391"/>
    <w:rsid w:val="00F6648D"/>
    <w:rsid w:val="00F6728A"/>
    <w:rsid w:val="00F67A1C"/>
    <w:rsid w:val="00F80F9B"/>
    <w:rsid w:val="00F82C5B"/>
    <w:rsid w:val="00F8555F"/>
    <w:rsid w:val="00F91EFE"/>
    <w:rsid w:val="00F94FE3"/>
    <w:rsid w:val="00FC3C2E"/>
    <w:rsid w:val="00FC3D37"/>
    <w:rsid w:val="00FC4798"/>
    <w:rsid w:val="00FD1A93"/>
    <w:rsid w:val="00FD39C3"/>
    <w:rsid w:val="00FD6542"/>
    <w:rsid w:val="00FD7211"/>
    <w:rsid w:val="00FF0D2E"/>
    <w:rsid w:val="00FF0EFC"/>
    <w:rsid w:val="00FF1276"/>
    <w:rsid w:val="00FF7558"/>
    <w:rsid w:val="00FF7E79"/>
    <w:rsid w:val="04FBD5A4"/>
    <w:rsid w:val="0DFF557B"/>
    <w:rsid w:val="1FDFDE05"/>
    <w:rsid w:val="1FFFA3D9"/>
    <w:rsid w:val="2B324E98"/>
    <w:rsid w:val="35EE6029"/>
    <w:rsid w:val="37F3A4D7"/>
    <w:rsid w:val="382D5E58"/>
    <w:rsid w:val="38B92508"/>
    <w:rsid w:val="3BBDFF16"/>
    <w:rsid w:val="3DDF46D0"/>
    <w:rsid w:val="4FDFF9F9"/>
    <w:rsid w:val="4FF76505"/>
    <w:rsid w:val="572A23E4"/>
    <w:rsid w:val="5A5F3A56"/>
    <w:rsid w:val="5C7B1812"/>
    <w:rsid w:val="5E7F82C1"/>
    <w:rsid w:val="63574E7D"/>
    <w:rsid w:val="67BF6824"/>
    <w:rsid w:val="6DAB400E"/>
    <w:rsid w:val="6EFBE8BA"/>
    <w:rsid w:val="6FBDA775"/>
    <w:rsid w:val="6FDE2DD9"/>
    <w:rsid w:val="7163E471"/>
    <w:rsid w:val="7172D9BD"/>
    <w:rsid w:val="74FD628C"/>
    <w:rsid w:val="755E19F4"/>
    <w:rsid w:val="75BDF23E"/>
    <w:rsid w:val="763E36CD"/>
    <w:rsid w:val="76BB7451"/>
    <w:rsid w:val="77BFBBA1"/>
    <w:rsid w:val="77D797C5"/>
    <w:rsid w:val="77DAA103"/>
    <w:rsid w:val="77F5054E"/>
    <w:rsid w:val="77F8DF54"/>
    <w:rsid w:val="797BADA0"/>
    <w:rsid w:val="7BBF5532"/>
    <w:rsid w:val="7D0211B1"/>
    <w:rsid w:val="7EFDAE94"/>
    <w:rsid w:val="7EFF18B6"/>
    <w:rsid w:val="7F658916"/>
    <w:rsid w:val="7F7FEEBB"/>
    <w:rsid w:val="7FA9E328"/>
    <w:rsid w:val="7FEA9B5E"/>
    <w:rsid w:val="7FF388EF"/>
    <w:rsid w:val="7FFDDFCA"/>
    <w:rsid w:val="7FFF8D72"/>
    <w:rsid w:val="8FDFEBBC"/>
    <w:rsid w:val="97ED4C23"/>
    <w:rsid w:val="9FFFAFB5"/>
    <w:rsid w:val="A5EFECFC"/>
    <w:rsid w:val="AE5A1A12"/>
    <w:rsid w:val="AE7DFD29"/>
    <w:rsid w:val="AF8D3F7E"/>
    <w:rsid w:val="AFA9B250"/>
    <w:rsid w:val="B73D975E"/>
    <w:rsid w:val="BBCD6F99"/>
    <w:rsid w:val="BF1E29FD"/>
    <w:rsid w:val="CEF88893"/>
    <w:rsid w:val="DA752587"/>
    <w:rsid w:val="DD979022"/>
    <w:rsid w:val="DFBF56A1"/>
    <w:rsid w:val="DFDF1ABE"/>
    <w:rsid w:val="DFFE06BD"/>
    <w:rsid w:val="ECFE2EE5"/>
    <w:rsid w:val="EDDF05BC"/>
    <w:rsid w:val="EDFC9225"/>
    <w:rsid w:val="EF9FA2F1"/>
    <w:rsid w:val="EFFF88F8"/>
    <w:rsid w:val="F45FB05D"/>
    <w:rsid w:val="F5BD7B9A"/>
    <w:rsid w:val="F7BF1B3B"/>
    <w:rsid w:val="F95F8381"/>
    <w:rsid w:val="F9F7F269"/>
    <w:rsid w:val="FB570C1B"/>
    <w:rsid w:val="FBBF3DB0"/>
    <w:rsid w:val="FBE746B3"/>
    <w:rsid w:val="FBFB5D22"/>
    <w:rsid w:val="FC673A31"/>
    <w:rsid w:val="FDB7BE0B"/>
    <w:rsid w:val="FDFE23F4"/>
    <w:rsid w:val="FEEF1DB6"/>
    <w:rsid w:val="FEF72124"/>
    <w:rsid w:val="FFEFE660"/>
    <w:rsid w:val="FFFE28A3"/>
  </w:rsids>
  <m:mathPr>
    <m:mathFont m:val="Cambria Math"/>
    <m:brkBin m:val="before"/>
    <m:brkBinSub m:val="--"/>
    <m:smallFrac m:val="0"/>
    <m:dispDef/>
    <m:lMargin m:val="0"/>
    <m:rMargin m:val="0"/>
    <m:defJc m:val="centerGroup"/>
    <m:wrapIndent m:val="1440"/>
    <m:intLim m:val="subSup"/>
    <m:naryLim m:val="undOvr"/>
  </m:mathPr>
  <w:themeFontLang w:val="en-IN" w:eastAsia="zh-CN" w:bidi="ml-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8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85"/>
    <w:qFormat/>
    <w:uiPriority w:val="0"/>
    <w:pPr>
      <w:pBdr>
        <w:top w:val="none" w:color="auto" w:sz="0" w:space="0"/>
      </w:pBdr>
      <w:spacing w:before="180"/>
      <w:outlineLvl w:val="1"/>
    </w:pPr>
    <w:rPr>
      <w:sz w:val="32"/>
    </w:rPr>
  </w:style>
  <w:style w:type="paragraph" w:styleId="4">
    <w:name w:val="heading 3"/>
    <w:basedOn w:val="3"/>
    <w:next w:val="1"/>
    <w:link w:val="182"/>
    <w:qFormat/>
    <w:uiPriority w:val="0"/>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8"/>
    <w:uiPriority w:val="0"/>
    <w:pPr>
      <w:spacing w:after="120"/>
    </w:pPr>
  </w:style>
  <w:style w:type="paragraph" w:styleId="17">
    <w:name w:val="Body Text 2"/>
    <w:basedOn w:val="1"/>
    <w:link w:val="139"/>
    <w:uiPriority w:val="0"/>
    <w:pPr>
      <w:spacing w:after="120" w:line="480" w:lineRule="auto"/>
    </w:pPr>
  </w:style>
  <w:style w:type="paragraph" w:styleId="18">
    <w:name w:val="Body Text 3"/>
    <w:basedOn w:val="1"/>
    <w:link w:val="140"/>
    <w:uiPriority w:val="0"/>
    <w:pPr>
      <w:spacing w:after="120"/>
    </w:pPr>
    <w:rPr>
      <w:sz w:val="16"/>
      <w:szCs w:val="16"/>
    </w:rPr>
  </w:style>
  <w:style w:type="paragraph" w:styleId="19">
    <w:name w:val="Body Text First Indent"/>
    <w:basedOn w:val="16"/>
    <w:link w:val="141"/>
    <w:uiPriority w:val="0"/>
    <w:pPr>
      <w:ind w:firstLine="210"/>
    </w:pPr>
  </w:style>
  <w:style w:type="paragraph" w:styleId="20">
    <w:name w:val="Body Text Indent"/>
    <w:basedOn w:val="1"/>
    <w:link w:val="142"/>
    <w:uiPriority w:val="0"/>
    <w:pPr>
      <w:spacing w:after="120"/>
      <w:ind w:left="283"/>
    </w:pPr>
  </w:style>
  <w:style w:type="paragraph" w:styleId="21">
    <w:name w:val="Body Text First Indent 2"/>
    <w:basedOn w:val="20"/>
    <w:link w:val="143"/>
    <w:uiPriority w:val="0"/>
    <w:pPr>
      <w:ind w:firstLine="210"/>
    </w:pPr>
  </w:style>
  <w:style w:type="paragraph" w:styleId="22">
    <w:name w:val="Body Text Indent 2"/>
    <w:basedOn w:val="1"/>
    <w:link w:val="144"/>
    <w:uiPriority w:val="0"/>
    <w:pPr>
      <w:spacing w:after="120" w:line="480" w:lineRule="auto"/>
      <w:ind w:left="283"/>
    </w:pPr>
  </w:style>
  <w:style w:type="paragraph" w:styleId="23">
    <w:name w:val="Body Text Indent 3"/>
    <w:basedOn w:val="1"/>
    <w:link w:val="145"/>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6"/>
    <w:uiPriority w:val="0"/>
    <w:pPr>
      <w:ind w:left="4252"/>
    </w:pPr>
  </w:style>
  <w:style w:type="character" w:styleId="26">
    <w:name w:val="annotation reference"/>
    <w:semiHidden/>
    <w:uiPriority w:val="99"/>
    <w:rPr>
      <w:sz w:val="16"/>
    </w:rPr>
  </w:style>
  <w:style w:type="paragraph" w:styleId="27">
    <w:name w:val="annotation text"/>
    <w:basedOn w:val="1"/>
    <w:link w:val="147"/>
    <w:uiPriority w:val="99"/>
  </w:style>
  <w:style w:type="paragraph" w:styleId="28">
    <w:name w:val="annotation subject"/>
    <w:basedOn w:val="27"/>
    <w:next w:val="27"/>
    <w:link w:val="148"/>
    <w:uiPriority w:val="0"/>
    <w:rPr>
      <w:b/>
      <w:bCs/>
    </w:rPr>
  </w:style>
  <w:style w:type="paragraph" w:styleId="29">
    <w:name w:val="Date"/>
    <w:basedOn w:val="1"/>
    <w:next w:val="1"/>
    <w:link w:val="149"/>
    <w:uiPriority w:val="0"/>
  </w:style>
  <w:style w:type="paragraph" w:styleId="30">
    <w:name w:val="Document Map"/>
    <w:basedOn w:val="1"/>
    <w:link w:val="150"/>
    <w:uiPriority w:val="0"/>
    <w:rPr>
      <w:rFonts w:ascii="Segoe UI" w:hAnsi="Segoe UI" w:cs="Segoe UI"/>
      <w:sz w:val="16"/>
      <w:szCs w:val="16"/>
    </w:rPr>
  </w:style>
  <w:style w:type="paragraph" w:styleId="31">
    <w:name w:val="E-mail Signature"/>
    <w:basedOn w:val="1"/>
    <w:link w:val="151"/>
    <w:uiPriority w:val="0"/>
  </w:style>
  <w:style w:type="character" w:styleId="32">
    <w:name w:val="Emphasis"/>
    <w:qFormat/>
    <w:uiPriority w:val="20"/>
    <w:rPr>
      <w:i/>
      <w:iCs/>
    </w:rPr>
  </w:style>
  <w:style w:type="paragraph" w:styleId="33">
    <w:name w:val="endnote text"/>
    <w:basedOn w:val="1"/>
    <w:link w:val="152"/>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6"/>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3"/>
    <w:uiPriority w:val="0"/>
    <w:rPr>
      <w:i/>
      <w:iCs/>
    </w:rPr>
  </w:style>
  <w:style w:type="paragraph" w:styleId="42">
    <w:name w:val="HTML Preformatted"/>
    <w:basedOn w:val="1"/>
    <w:link w:val="154"/>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8"/>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9"/>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uiPriority w:val="99"/>
    <w:pPr>
      <w:spacing w:beforeAutospacing="1" w:afterAutospacing="1"/>
    </w:pPr>
    <w:rPr>
      <w:rFonts w:ascii="Times New Roman" w:hAnsi="Times New Roman" w:eastAsia="宋体" w:cs="Times New Roman"/>
      <w:sz w:val="24"/>
      <w:szCs w:val="24"/>
      <w:lang w:val="en-US" w:eastAsia="zh-CN" w:bidi="ar-SA"/>
    </w:rPr>
  </w:style>
  <w:style w:type="paragraph" w:styleId="77">
    <w:name w:val="Normal Indent"/>
    <w:basedOn w:val="1"/>
    <w:uiPriority w:val="0"/>
    <w:pPr>
      <w:ind w:left="720"/>
    </w:pPr>
  </w:style>
  <w:style w:type="paragraph" w:styleId="78">
    <w:name w:val="Note Heading"/>
    <w:basedOn w:val="1"/>
    <w:next w:val="1"/>
    <w:link w:val="161"/>
    <w:uiPriority w:val="0"/>
  </w:style>
  <w:style w:type="paragraph" w:styleId="79">
    <w:name w:val="Plain Text"/>
    <w:basedOn w:val="1"/>
    <w:link w:val="162"/>
    <w:uiPriority w:val="0"/>
    <w:rPr>
      <w:rFonts w:ascii="Courier New" w:hAnsi="Courier New" w:cs="Courier New"/>
    </w:rPr>
  </w:style>
  <w:style w:type="paragraph" w:styleId="80">
    <w:name w:val="Salutation"/>
    <w:basedOn w:val="1"/>
    <w:next w:val="1"/>
    <w:link w:val="165"/>
    <w:uiPriority w:val="0"/>
  </w:style>
  <w:style w:type="paragraph" w:styleId="81">
    <w:name w:val="Signature"/>
    <w:basedOn w:val="1"/>
    <w:link w:val="166"/>
    <w:uiPriority w:val="0"/>
    <w:pPr>
      <w:ind w:left="4252"/>
    </w:pPr>
  </w:style>
  <w:style w:type="character" w:styleId="82">
    <w:name w:val="Strong"/>
    <w:qFormat/>
    <w:uiPriority w:val="22"/>
    <w:rPr>
      <w:b/>
      <w:bCs/>
    </w:rPr>
  </w:style>
  <w:style w:type="paragraph" w:styleId="83">
    <w:name w:val="Subtitle"/>
    <w:basedOn w:val="1"/>
    <w:next w:val="1"/>
    <w:link w:val="167"/>
    <w:qFormat/>
    <w:uiPriority w:val="0"/>
    <w:pPr>
      <w:spacing w:after="60"/>
      <w:jc w:val="center"/>
      <w:outlineLvl w:val="1"/>
    </w:pPr>
    <w:rPr>
      <w:rFonts w:ascii="Calibri Light" w:hAnsi="Calibri Light" w:eastAsia="Times New Roman"/>
      <w:sz w:val="24"/>
      <w:szCs w:val="24"/>
    </w:rPr>
  </w:style>
  <w:style w:type="table" w:styleId="84">
    <w:name w:val="Table Grid"/>
    <w:basedOn w:val="1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5">
    <w:name w:val="table of authorities"/>
    <w:basedOn w:val="1"/>
    <w:next w:val="1"/>
    <w:uiPriority w:val="0"/>
    <w:pPr>
      <w:ind w:left="200" w:hanging="200"/>
    </w:pPr>
  </w:style>
  <w:style w:type="paragraph" w:styleId="86">
    <w:name w:val="table of figures"/>
    <w:basedOn w:val="1"/>
    <w:next w:val="1"/>
    <w:uiPriority w:val="0"/>
  </w:style>
  <w:style w:type="paragraph" w:styleId="87">
    <w:name w:val="Title"/>
    <w:basedOn w:val="1"/>
    <w:next w:val="1"/>
    <w:link w:val="168"/>
    <w:qFormat/>
    <w:uiPriority w:val="0"/>
    <w:pPr>
      <w:spacing w:before="240" w:after="60"/>
      <w:jc w:val="center"/>
      <w:outlineLvl w:val="0"/>
    </w:pPr>
    <w:rPr>
      <w:rFonts w:ascii="Calibri Light" w:hAnsi="Calibri Light" w:eastAsia="Times New Roman"/>
      <w:b/>
      <w:bCs/>
      <w:kern w:val="28"/>
      <w:sz w:val="32"/>
      <w:szCs w:val="32"/>
    </w:rPr>
  </w:style>
  <w:style w:type="paragraph" w:styleId="88">
    <w:name w:val="toa heading"/>
    <w:basedOn w:val="1"/>
    <w:next w:val="1"/>
    <w:uiPriority w:val="0"/>
    <w:pPr>
      <w:spacing w:before="120"/>
    </w:pPr>
    <w:rPr>
      <w:rFonts w:ascii="Calibri Light" w:hAnsi="Calibri Light" w:eastAsia="Times New Roman"/>
      <w:b/>
      <w:bCs/>
      <w:sz w:val="24"/>
      <w:szCs w:val="24"/>
    </w:rPr>
  </w:style>
  <w:style w:type="paragraph" w:styleId="8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90">
    <w:name w:val="toc 2"/>
    <w:basedOn w:val="89"/>
    <w:semiHidden/>
    <w:uiPriority w:val="0"/>
    <w:pPr>
      <w:keepNext w:val="0"/>
      <w:spacing w:before="0"/>
      <w:ind w:left="851" w:hanging="851"/>
    </w:pPr>
    <w:rPr>
      <w:sz w:val="20"/>
    </w:rPr>
  </w:style>
  <w:style w:type="paragraph" w:styleId="91">
    <w:name w:val="toc 3"/>
    <w:basedOn w:val="90"/>
    <w:semiHidden/>
    <w:uiPriority w:val="0"/>
    <w:pPr>
      <w:ind w:left="1134" w:hanging="1134"/>
    </w:pPr>
  </w:style>
  <w:style w:type="paragraph" w:styleId="92">
    <w:name w:val="toc 4"/>
    <w:basedOn w:val="91"/>
    <w:semiHidden/>
    <w:uiPriority w:val="0"/>
    <w:pPr>
      <w:ind w:left="1418" w:hanging="1418"/>
    </w:pPr>
  </w:style>
  <w:style w:type="paragraph" w:styleId="93">
    <w:name w:val="toc 5"/>
    <w:basedOn w:val="92"/>
    <w:semiHidden/>
    <w:uiPriority w:val="0"/>
    <w:pPr>
      <w:ind w:left="1701" w:hanging="1701"/>
    </w:pPr>
  </w:style>
  <w:style w:type="paragraph" w:styleId="94">
    <w:name w:val="toc 6"/>
    <w:basedOn w:val="93"/>
    <w:next w:val="1"/>
    <w:semiHidden/>
    <w:uiPriority w:val="0"/>
    <w:pPr>
      <w:ind w:left="1985" w:hanging="1985"/>
    </w:pPr>
  </w:style>
  <w:style w:type="paragraph" w:styleId="95">
    <w:name w:val="toc 7"/>
    <w:basedOn w:val="94"/>
    <w:next w:val="1"/>
    <w:semiHidden/>
    <w:uiPriority w:val="0"/>
    <w:pPr>
      <w:ind w:left="2268" w:hanging="2268"/>
    </w:pPr>
  </w:style>
  <w:style w:type="paragraph" w:styleId="96">
    <w:name w:val="toc 8"/>
    <w:basedOn w:val="89"/>
    <w:semiHidden/>
    <w:uiPriority w:val="0"/>
    <w:pPr>
      <w:spacing w:before="180"/>
      <w:ind w:left="2693" w:hanging="2693"/>
    </w:pPr>
    <w:rPr>
      <w:b/>
    </w:rPr>
  </w:style>
  <w:style w:type="paragraph" w:styleId="97">
    <w:name w:val="toc 9"/>
    <w:basedOn w:val="96"/>
    <w:semiHidden/>
    <w:uiPriority w:val="0"/>
    <w:pPr>
      <w:ind w:left="1418" w:hanging="1418"/>
    </w:pPr>
  </w:style>
  <w:style w:type="paragraph" w:customStyle="1" w:styleId="9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2"/>
    <w:next w:val="1"/>
    <w:uiPriority w:val="0"/>
    <w:pPr>
      <w:outlineLvl w:val="9"/>
    </w:pPr>
  </w:style>
  <w:style w:type="paragraph" w:customStyle="1" w:styleId="101">
    <w:name w:val="TAH"/>
    <w:basedOn w:val="102"/>
    <w:link w:val="190"/>
    <w:qFormat/>
    <w:uiPriority w:val="0"/>
    <w:rPr>
      <w:b/>
    </w:rPr>
  </w:style>
  <w:style w:type="paragraph" w:customStyle="1" w:styleId="102">
    <w:name w:val="TAC"/>
    <w:basedOn w:val="103"/>
    <w:link w:val="192"/>
    <w:qFormat/>
    <w:uiPriority w:val="0"/>
    <w:pPr>
      <w:jc w:val="center"/>
    </w:pPr>
  </w:style>
  <w:style w:type="paragraph" w:customStyle="1" w:styleId="103">
    <w:name w:val="TAL"/>
    <w:basedOn w:val="1"/>
    <w:link w:val="191"/>
    <w:qFormat/>
    <w:uiPriority w:val="0"/>
    <w:pPr>
      <w:keepNext/>
      <w:keepLines/>
      <w:spacing w:after="0"/>
    </w:pPr>
    <w:rPr>
      <w:rFonts w:ascii="Arial" w:hAnsi="Arial"/>
      <w:sz w:val="18"/>
    </w:rPr>
  </w:style>
  <w:style w:type="paragraph" w:customStyle="1" w:styleId="104">
    <w:name w:val="TF"/>
    <w:basedOn w:val="105"/>
    <w:link w:val="174"/>
    <w:qFormat/>
    <w:uiPriority w:val="0"/>
    <w:pPr>
      <w:keepNext w:val="0"/>
      <w:spacing w:before="0" w:after="240"/>
    </w:pPr>
  </w:style>
  <w:style w:type="paragraph" w:customStyle="1" w:styleId="105">
    <w:name w:val="TH"/>
    <w:basedOn w:val="1"/>
    <w:link w:val="189"/>
    <w:qFormat/>
    <w:uiPriority w:val="0"/>
    <w:pPr>
      <w:keepNext/>
      <w:keepLines/>
      <w:spacing w:before="60"/>
      <w:jc w:val="center"/>
    </w:pPr>
    <w:rPr>
      <w:rFonts w:ascii="Arial" w:hAnsi="Arial"/>
      <w:b/>
    </w:rPr>
  </w:style>
  <w:style w:type="paragraph" w:customStyle="1" w:styleId="106">
    <w:name w:val="NO"/>
    <w:basedOn w:val="1"/>
    <w:link w:val="178"/>
    <w:uiPriority w:val="0"/>
    <w:pPr>
      <w:keepLines/>
      <w:ind w:left="1135" w:hanging="851"/>
    </w:pPr>
  </w:style>
  <w:style w:type="paragraph" w:customStyle="1" w:styleId="107">
    <w:name w:val="EX"/>
    <w:basedOn w:val="1"/>
    <w:link w:val="179"/>
    <w:uiPriority w:val="0"/>
    <w:pPr>
      <w:keepLines/>
      <w:ind w:left="1702" w:hanging="1418"/>
    </w:pPr>
  </w:style>
  <w:style w:type="paragraph" w:customStyle="1" w:styleId="108">
    <w:name w:val="FP"/>
    <w:basedOn w:val="1"/>
    <w:uiPriority w:val="0"/>
    <w:pPr>
      <w:spacing w:after="0"/>
    </w:pPr>
  </w:style>
  <w:style w:type="paragraph" w:customStyle="1" w:styleId="109">
    <w:name w:val="LD"/>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uiPriority w:val="0"/>
    <w:pPr>
      <w:spacing w:after="0"/>
    </w:pPr>
  </w:style>
  <w:style w:type="paragraph" w:customStyle="1" w:styleId="111">
    <w:name w:val="EW"/>
    <w:basedOn w:val="107"/>
    <w:uiPriority w:val="0"/>
    <w:pPr>
      <w:spacing w:after="0"/>
    </w:pPr>
  </w:style>
  <w:style w:type="paragraph" w:customStyle="1" w:styleId="112">
    <w:name w:val="EQ"/>
    <w:basedOn w:val="1"/>
    <w:next w:val="1"/>
    <w:uiPriority w:val="0"/>
    <w:pPr>
      <w:keepLines/>
      <w:tabs>
        <w:tab w:val="center" w:pos="4536"/>
        <w:tab w:val="right" w:pos="9072"/>
      </w:tabs>
    </w:pPr>
  </w:style>
  <w:style w:type="paragraph" w:customStyle="1" w:styleId="113">
    <w:name w:val="NF"/>
    <w:basedOn w:val="106"/>
    <w:uiPriority w:val="0"/>
    <w:pPr>
      <w:keepNext/>
      <w:spacing w:after="0"/>
    </w:pPr>
    <w:rPr>
      <w:rFonts w:ascii="Arial" w:hAnsi="Arial"/>
      <w:sz w:val="18"/>
    </w:rPr>
  </w:style>
  <w:style w:type="paragraph" w:customStyle="1" w:styleId="11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uiPriority w:val="0"/>
    <w:pPr>
      <w:jc w:val="right"/>
    </w:pPr>
  </w:style>
  <w:style w:type="paragraph" w:customStyle="1" w:styleId="116">
    <w:name w:val="TAN"/>
    <w:basedOn w:val="103"/>
    <w:uiPriority w:val="0"/>
    <w:pPr>
      <w:ind w:left="851" w:hanging="851"/>
    </w:pPr>
  </w:style>
  <w:style w:type="paragraph" w:customStyle="1" w:styleId="11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uiPriority w:val="0"/>
    <w:pPr>
      <w:framePr w:y="16161"/>
    </w:pPr>
  </w:style>
  <w:style w:type="character" w:customStyle="1" w:styleId="122">
    <w:name w:val="ZGSM"/>
    <w:uiPriority w:val="0"/>
  </w:style>
  <w:style w:type="paragraph" w:customStyle="1" w:styleId="12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81"/>
    <w:qFormat/>
    <w:uiPriority w:val="0"/>
    <w:rPr>
      <w:color w:val="FF0000"/>
    </w:rPr>
  </w:style>
  <w:style w:type="paragraph" w:customStyle="1" w:styleId="125">
    <w:name w:val="B1"/>
    <w:basedOn w:val="54"/>
    <w:link w:val="180"/>
    <w:qFormat/>
    <w:uiPriority w:val="0"/>
  </w:style>
  <w:style w:type="paragraph" w:customStyle="1" w:styleId="126">
    <w:name w:val="B2"/>
    <w:basedOn w:val="55"/>
    <w:link w:val="194"/>
    <w:uiPriority w:val="0"/>
  </w:style>
  <w:style w:type="paragraph" w:customStyle="1" w:styleId="127">
    <w:name w:val="B3"/>
    <w:basedOn w:val="56"/>
    <w:uiPriority w:val="0"/>
  </w:style>
  <w:style w:type="paragraph" w:customStyle="1" w:styleId="128">
    <w:name w:val="B4"/>
    <w:basedOn w:val="57"/>
    <w:uiPriority w:val="0"/>
  </w:style>
  <w:style w:type="paragraph" w:customStyle="1" w:styleId="129">
    <w:name w:val="B5"/>
    <w:basedOn w:val="58"/>
    <w:uiPriority w:val="0"/>
  </w:style>
  <w:style w:type="paragraph" w:customStyle="1" w:styleId="130">
    <w:name w:val="ZTD"/>
    <w:basedOn w:val="118"/>
    <w:uiPriority w:val="0"/>
    <w:pPr>
      <w:framePr w:hRule="auto" w:y="852"/>
    </w:pPr>
    <w:rPr>
      <w:i w:val="0"/>
      <w:sz w:val="40"/>
    </w:rPr>
  </w:style>
  <w:style w:type="paragraph" w:customStyle="1" w:styleId="131">
    <w:name w:val="CR Cover Page"/>
    <w:link w:val="188"/>
    <w:uiPriority w:val="0"/>
    <w:pPr>
      <w:spacing w:after="120"/>
    </w:pPr>
    <w:rPr>
      <w:rFonts w:ascii="Arial" w:hAnsi="Arial" w:eastAsia="宋体" w:cs="Times New Roman"/>
      <w:lang w:val="en-GB" w:eastAsia="en-US" w:bidi="ar-SA"/>
    </w:rPr>
  </w:style>
  <w:style w:type="paragraph" w:customStyle="1" w:styleId="132">
    <w:name w:val="tdoc-header"/>
    <w:uiPriority w:val="0"/>
    <w:rPr>
      <w:rFonts w:ascii="Arial" w:hAnsi="Arial" w:eastAsia="宋体" w:cs="Times New Roman"/>
      <w:sz w:val="24"/>
      <w:lang w:val="en-GB" w:eastAsia="en-US" w:bidi="ar-SA"/>
    </w:rPr>
  </w:style>
  <w:style w:type="paragraph" w:customStyle="1" w:styleId="133">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4">
    <w:name w:val="msoins"/>
    <w:basedOn w:val="12"/>
    <w:uiPriority w:val="0"/>
  </w:style>
  <w:style w:type="paragraph" w:customStyle="1" w:styleId="135">
    <w:name w:val="Reference"/>
    <w:basedOn w:val="1"/>
    <w:uiPriority w:val="0"/>
    <w:pPr>
      <w:tabs>
        <w:tab w:val="left" w:pos="851"/>
      </w:tabs>
      <w:ind w:left="851" w:hanging="851"/>
    </w:pPr>
  </w:style>
  <w:style w:type="character" w:customStyle="1" w:styleId="136">
    <w:name w:val="页眉 字符"/>
    <w:link w:val="38"/>
    <w:uiPriority w:val="0"/>
    <w:rPr>
      <w:rFonts w:ascii="Arial" w:hAnsi="Arial"/>
      <w:b/>
      <w:sz w:val="18"/>
      <w:lang w:eastAsia="en-US"/>
    </w:rPr>
  </w:style>
  <w:style w:type="paragraph" w:customStyle="1" w:styleId="137">
    <w:name w:val="Bibliography1"/>
    <w:basedOn w:val="1"/>
    <w:next w:val="1"/>
    <w:semiHidden/>
    <w:unhideWhenUsed/>
    <w:uiPriority w:val="37"/>
  </w:style>
  <w:style w:type="character" w:customStyle="1" w:styleId="138">
    <w:name w:val="正文文本 字符"/>
    <w:link w:val="16"/>
    <w:uiPriority w:val="0"/>
    <w:rPr>
      <w:rFonts w:ascii="Times New Roman" w:hAnsi="Times New Roman"/>
      <w:lang w:eastAsia="en-US"/>
    </w:rPr>
  </w:style>
  <w:style w:type="character" w:customStyle="1" w:styleId="139">
    <w:name w:val="正文文本 2 字符"/>
    <w:link w:val="17"/>
    <w:uiPriority w:val="0"/>
    <w:rPr>
      <w:rFonts w:ascii="Times New Roman" w:hAnsi="Times New Roman"/>
      <w:lang w:eastAsia="en-US"/>
    </w:rPr>
  </w:style>
  <w:style w:type="character" w:customStyle="1" w:styleId="140">
    <w:name w:val="正文文本 3 字符"/>
    <w:link w:val="18"/>
    <w:uiPriority w:val="0"/>
    <w:rPr>
      <w:rFonts w:ascii="Times New Roman" w:hAnsi="Times New Roman"/>
      <w:sz w:val="16"/>
      <w:szCs w:val="16"/>
      <w:lang w:eastAsia="en-US"/>
    </w:rPr>
  </w:style>
  <w:style w:type="character" w:customStyle="1" w:styleId="141">
    <w:name w:val="正文文本首行缩进 字符"/>
    <w:basedOn w:val="138"/>
    <w:link w:val="19"/>
    <w:uiPriority w:val="0"/>
    <w:rPr>
      <w:rFonts w:ascii="Times New Roman" w:hAnsi="Times New Roman"/>
      <w:lang w:eastAsia="en-US"/>
    </w:rPr>
  </w:style>
  <w:style w:type="character" w:customStyle="1" w:styleId="142">
    <w:name w:val="正文文本缩进 字符"/>
    <w:link w:val="20"/>
    <w:uiPriority w:val="0"/>
    <w:rPr>
      <w:rFonts w:ascii="Times New Roman" w:hAnsi="Times New Roman"/>
      <w:lang w:eastAsia="en-US"/>
    </w:rPr>
  </w:style>
  <w:style w:type="character" w:customStyle="1" w:styleId="143">
    <w:name w:val="正文文本首行缩进 2 字符"/>
    <w:basedOn w:val="142"/>
    <w:link w:val="21"/>
    <w:uiPriority w:val="0"/>
    <w:rPr>
      <w:rFonts w:ascii="Times New Roman" w:hAnsi="Times New Roman"/>
      <w:lang w:eastAsia="en-US"/>
    </w:rPr>
  </w:style>
  <w:style w:type="character" w:customStyle="1" w:styleId="144">
    <w:name w:val="正文文本缩进 2 字符"/>
    <w:link w:val="22"/>
    <w:uiPriority w:val="0"/>
    <w:rPr>
      <w:rFonts w:ascii="Times New Roman" w:hAnsi="Times New Roman"/>
      <w:lang w:eastAsia="en-US"/>
    </w:rPr>
  </w:style>
  <w:style w:type="character" w:customStyle="1" w:styleId="145">
    <w:name w:val="正文文本缩进 3 字符"/>
    <w:link w:val="23"/>
    <w:uiPriority w:val="0"/>
    <w:rPr>
      <w:rFonts w:ascii="Times New Roman" w:hAnsi="Times New Roman"/>
      <w:sz w:val="16"/>
      <w:szCs w:val="16"/>
      <w:lang w:eastAsia="en-US"/>
    </w:rPr>
  </w:style>
  <w:style w:type="character" w:customStyle="1" w:styleId="146">
    <w:name w:val="结束语 字符"/>
    <w:link w:val="25"/>
    <w:uiPriority w:val="0"/>
    <w:rPr>
      <w:rFonts w:ascii="Times New Roman" w:hAnsi="Times New Roman"/>
      <w:lang w:eastAsia="en-US"/>
    </w:rPr>
  </w:style>
  <w:style w:type="character" w:customStyle="1" w:styleId="147">
    <w:name w:val="批注文字 字符"/>
    <w:link w:val="27"/>
    <w:uiPriority w:val="99"/>
    <w:rPr>
      <w:rFonts w:ascii="Times New Roman" w:hAnsi="Times New Roman"/>
      <w:lang w:eastAsia="en-US"/>
    </w:rPr>
  </w:style>
  <w:style w:type="character" w:customStyle="1" w:styleId="148">
    <w:name w:val="批注主题 字符"/>
    <w:link w:val="28"/>
    <w:uiPriority w:val="0"/>
    <w:rPr>
      <w:rFonts w:ascii="Times New Roman" w:hAnsi="Times New Roman"/>
      <w:b/>
      <w:bCs/>
      <w:lang w:eastAsia="en-US"/>
    </w:rPr>
  </w:style>
  <w:style w:type="character" w:customStyle="1" w:styleId="149">
    <w:name w:val="日期 字符"/>
    <w:link w:val="29"/>
    <w:uiPriority w:val="0"/>
    <w:rPr>
      <w:rFonts w:ascii="Times New Roman" w:hAnsi="Times New Roman"/>
      <w:lang w:eastAsia="en-US"/>
    </w:rPr>
  </w:style>
  <w:style w:type="character" w:customStyle="1" w:styleId="150">
    <w:name w:val="文档结构图 字符"/>
    <w:link w:val="30"/>
    <w:uiPriority w:val="0"/>
    <w:rPr>
      <w:rFonts w:ascii="Segoe UI" w:hAnsi="Segoe UI" w:cs="Segoe UI"/>
      <w:sz w:val="16"/>
      <w:szCs w:val="16"/>
      <w:lang w:eastAsia="en-US"/>
    </w:rPr>
  </w:style>
  <w:style w:type="character" w:customStyle="1" w:styleId="151">
    <w:name w:val="电子邮件签名 字符"/>
    <w:link w:val="31"/>
    <w:uiPriority w:val="0"/>
    <w:rPr>
      <w:rFonts w:ascii="Times New Roman" w:hAnsi="Times New Roman"/>
      <w:lang w:eastAsia="en-US"/>
    </w:rPr>
  </w:style>
  <w:style w:type="character" w:customStyle="1" w:styleId="152">
    <w:name w:val="尾注文本 字符"/>
    <w:link w:val="33"/>
    <w:uiPriority w:val="0"/>
    <w:rPr>
      <w:rFonts w:ascii="Times New Roman" w:hAnsi="Times New Roman"/>
      <w:lang w:eastAsia="en-US"/>
    </w:rPr>
  </w:style>
  <w:style w:type="character" w:customStyle="1" w:styleId="153">
    <w:name w:val="HTML 地址 字符"/>
    <w:link w:val="41"/>
    <w:uiPriority w:val="0"/>
    <w:rPr>
      <w:rFonts w:ascii="Times New Roman" w:hAnsi="Times New Roman"/>
      <w:i/>
      <w:iCs/>
      <w:lang w:eastAsia="en-US"/>
    </w:rPr>
  </w:style>
  <w:style w:type="character" w:customStyle="1" w:styleId="154">
    <w:name w:val="HTML 预设格式 字符"/>
    <w:link w:val="42"/>
    <w:uiPriority w:val="0"/>
    <w:rPr>
      <w:rFonts w:ascii="Courier New" w:hAnsi="Courier New" w:cs="Courier New"/>
      <w:lang w:eastAsia="en-US"/>
    </w:rPr>
  </w:style>
  <w:style w:type="paragraph" w:styleId="155">
    <w:name w:val="Intense Quote"/>
    <w:basedOn w:val="1"/>
    <w:next w:val="1"/>
    <w:link w:val="156"/>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6">
    <w:name w:val="明显引用 字符"/>
    <w:link w:val="155"/>
    <w:uiPriority w:val="30"/>
    <w:rPr>
      <w:rFonts w:ascii="Times New Roman" w:hAnsi="Times New Roman"/>
      <w:i/>
      <w:iCs/>
      <w:color w:val="4472C4"/>
      <w:lang w:eastAsia="en-US"/>
    </w:rPr>
  </w:style>
  <w:style w:type="paragraph" w:styleId="157">
    <w:name w:val="List Paragraph"/>
    <w:basedOn w:val="1"/>
    <w:qFormat/>
    <w:uiPriority w:val="34"/>
    <w:pPr>
      <w:ind w:left="720"/>
    </w:pPr>
  </w:style>
  <w:style w:type="character" w:customStyle="1" w:styleId="158">
    <w:name w:val="宏文本 字符"/>
    <w:link w:val="74"/>
    <w:uiPriority w:val="0"/>
    <w:rPr>
      <w:rFonts w:ascii="Courier New" w:hAnsi="Courier New" w:cs="Courier New"/>
      <w:lang w:eastAsia="en-US"/>
    </w:rPr>
  </w:style>
  <w:style w:type="character" w:customStyle="1" w:styleId="159">
    <w:name w:val="信息标题 字符"/>
    <w:link w:val="75"/>
    <w:uiPriority w:val="0"/>
    <w:rPr>
      <w:rFonts w:ascii="Calibri Light" w:hAnsi="Calibri Light" w:eastAsia="Times New Roman" w:cs="Times New Roman"/>
      <w:sz w:val="24"/>
      <w:szCs w:val="24"/>
      <w:shd w:val="pct20" w:color="auto" w:fill="auto"/>
      <w:lang w:eastAsia="en-US"/>
    </w:rPr>
  </w:style>
  <w:style w:type="paragraph" w:styleId="160">
    <w:name w:val="No Spacing"/>
    <w:qFormat/>
    <w:uiPriority w:val="1"/>
    <w:rPr>
      <w:rFonts w:ascii="Times New Roman" w:hAnsi="Times New Roman" w:eastAsia="宋体" w:cs="Times New Roman"/>
      <w:lang w:val="en-GB" w:eastAsia="en-US" w:bidi="ar-SA"/>
    </w:rPr>
  </w:style>
  <w:style w:type="character" w:customStyle="1" w:styleId="161">
    <w:name w:val="注释标题 字符"/>
    <w:link w:val="78"/>
    <w:uiPriority w:val="0"/>
    <w:rPr>
      <w:rFonts w:ascii="Times New Roman" w:hAnsi="Times New Roman"/>
      <w:lang w:eastAsia="en-US"/>
    </w:rPr>
  </w:style>
  <w:style w:type="character" w:customStyle="1" w:styleId="162">
    <w:name w:val="纯文本 字符"/>
    <w:link w:val="79"/>
    <w:uiPriority w:val="0"/>
    <w:rPr>
      <w:rFonts w:ascii="Courier New" w:hAnsi="Courier New" w:cs="Courier New"/>
      <w:lang w:eastAsia="en-US"/>
    </w:rPr>
  </w:style>
  <w:style w:type="paragraph" w:styleId="163">
    <w:name w:val="Quote"/>
    <w:basedOn w:val="1"/>
    <w:next w:val="1"/>
    <w:link w:val="164"/>
    <w:qFormat/>
    <w:uiPriority w:val="29"/>
    <w:pPr>
      <w:spacing w:before="200" w:after="160"/>
      <w:ind w:left="864" w:right="864"/>
      <w:jc w:val="center"/>
    </w:pPr>
    <w:rPr>
      <w:i/>
      <w:iCs/>
      <w:color w:val="404040"/>
    </w:rPr>
  </w:style>
  <w:style w:type="character" w:customStyle="1" w:styleId="164">
    <w:name w:val="引用 字符"/>
    <w:link w:val="163"/>
    <w:uiPriority w:val="29"/>
    <w:rPr>
      <w:rFonts w:ascii="Times New Roman" w:hAnsi="Times New Roman"/>
      <w:i/>
      <w:iCs/>
      <w:color w:val="404040"/>
      <w:lang w:eastAsia="en-US"/>
    </w:rPr>
  </w:style>
  <w:style w:type="character" w:customStyle="1" w:styleId="165">
    <w:name w:val="称呼 字符"/>
    <w:link w:val="80"/>
    <w:uiPriority w:val="0"/>
    <w:rPr>
      <w:rFonts w:ascii="Times New Roman" w:hAnsi="Times New Roman"/>
      <w:lang w:eastAsia="en-US"/>
    </w:rPr>
  </w:style>
  <w:style w:type="character" w:customStyle="1" w:styleId="166">
    <w:name w:val="签名 字符"/>
    <w:link w:val="81"/>
    <w:uiPriority w:val="0"/>
    <w:rPr>
      <w:rFonts w:ascii="Times New Roman" w:hAnsi="Times New Roman"/>
      <w:lang w:eastAsia="en-US"/>
    </w:rPr>
  </w:style>
  <w:style w:type="character" w:customStyle="1" w:styleId="167">
    <w:name w:val="副标题 字符"/>
    <w:link w:val="83"/>
    <w:uiPriority w:val="0"/>
    <w:rPr>
      <w:rFonts w:ascii="Calibri Light" w:hAnsi="Calibri Light" w:eastAsia="Times New Roman" w:cs="Times New Roman"/>
      <w:sz w:val="24"/>
      <w:szCs w:val="24"/>
      <w:lang w:eastAsia="en-US"/>
    </w:rPr>
  </w:style>
  <w:style w:type="character" w:customStyle="1" w:styleId="168">
    <w:name w:val="标题 字符"/>
    <w:link w:val="87"/>
    <w:uiPriority w:val="0"/>
    <w:rPr>
      <w:rFonts w:ascii="Calibri Light" w:hAnsi="Calibri Light" w:eastAsia="Times New Roman" w:cs="Times New Roman"/>
      <w:b/>
      <w:bCs/>
      <w:kern w:val="28"/>
      <w:sz w:val="32"/>
      <w:szCs w:val="32"/>
      <w:lang w:eastAsia="en-US"/>
    </w:rPr>
  </w:style>
  <w:style w:type="paragraph" w:customStyle="1" w:styleId="169">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70">
    <w:name w:val="blue-complex-underline"/>
    <w:basedOn w:val="12"/>
    <w:uiPriority w:val="0"/>
  </w:style>
  <w:style w:type="paragraph" w:customStyle="1" w:styleId="171">
    <w:name w:val="Bullet"/>
    <w:basedOn w:val="1"/>
    <w:uiPriority w:val="0"/>
  </w:style>
  <w:style w:type="character" w:customStyle="1" w:styleId="172">
    <w:name w:val="red-underline"/>
    <w:basedOn w:val="12"/>
    <w:uiPriority w:val="0"/>
  </w:style>
  <w:style w:type="paragraph" w:customStyle="1" w:styleId="173">
    <w:name w:val="root-block-node"/>
    <w:basedOn w:val="1"/>
    <w:uiPriority w:val="0"/>
    <w:pPr>
      <w:spacing w:before="100" w:beforeAutospacing="1" w:after="100" w:afterAutospacing="1"/>
    </w:pPr>
    <w:rPr>
      <w:rFonts w:eastAsia="Times New Roman"/>
      <w:sz w:val="24"/>
      <w:szCs w:val="24"/>
      <w:lang w:val="en-IN" w:eastAsia="en-IN"/>
    </w:rPr>
  </w:style>
  <w:style w:type="character" w:customStyle="1" w:styleId="174">
    <w:name w:val="TF Char"/>
    <w:link w:val="104"/>
    <w:qFormat/>
    <w:locked/>
    <w:uiPriority w:val="0"/>
    <w:rPr>
      <w:rFonts w:ascii="Arial" w:hAnsi="Arial"/>
      <w:b/>
      <w:lang w:val="en-GB" w:eastAsia="en-US"/>
    </w:rPr>
  </w:style>
  <w:style w:type="character" w:customStyle="1" w:styleId="175">
    <w:name w:val="ref Char"/>
    <w:link w:val="176"/>
    <w:locked/>
    <w:uiPriority w:val="0"/>
    <w:rPr>
      <w:rFonts w:ascii="Times New Roman" w:hAnsi="Times New Roman" w:eastAsia="等线"/>
      <w:lang w:eastAsia="en-US"/>
    </w:rPr>
  </w:style>
  <w:style w:type="paragraph" w:customStyle="1" w:styleId="176">
    <w:name w:val="ref"/>
    <w:basedOn w:val="1"/>
    <w:link w:val="175"/>
    <w:qFormat/>
    <w:uiPriority w:val="0"/>
    <w:pPr>
      <w:ind w:left="720" w:hanging="720"/>
    </w:pPr>
    <w:rPr>
      <w:rFonts w:eastAsia="等线"/>
      <w:lang w:val="en-IN"/>
    </w:rPr>
  </w:style>
  <w:style w:type="character" w:customStyle="1" w:styleId="177">
    <w:name w:val="blue-underline"/>
    <w:basedOn w:val="12"/>
    <w:uiPriority w:val="0"/>
  </w:style>
  <w:style w:type="character" w:customStyle="1" w:styleId="178">
    <w:name w:val="NO Char"/>
    <w:link w:val="106"/>
    <w:qFormat/>
    <w:uiPriority w:val="0"/>
    <w:rPr>
      <w:rFonts w:ascii="Times New Roman" w:hAnsi="Times New Roman"/>
      <w:lang w:val="en-GB" w:eastAsia="en-US"/>
    </w:rPr>
  </w:style>
  <w:style w:type="character" w:customStyle="1" w:styleId="179">
    <w:name w:val="EX Char"/>
    <w:link w:val="107"/>
    <w:locked/>
    <w:uiPriority w:val="0"/>
    <w:rPr>
      <w:rFonts w:ascii="Times New Roman" w:hAnsi="Times New Roman"/>
      <w:lang w:val="en-GB" w:eastAsia="en-US"/>
    </w:rPr>
  </w:style>
  <w:style w:type="character" w:customStyle="1" w:styleId="180">
    <w:name w:val="B1 Char"/>
    <w:link w:val="125"/>
    <w:locked/>
    <w:uiPriority w:val="0"/>
    <w:rPr>
      <w:rFonts w:ascii="Times New Roman" w:hAnsi="Times New Roman"/>
      <w:lang w:val="en-GB" w:eastAsia="en-US"/>
    </w:rPr>
  </w:style>
  <w:style w:type="character" w:customStyle="1" w:styleId="181">
    <w:name w:val="Editor's Note Char Char"/>
    <w:link w:val="124"/>
    <w:locked/>
    <w:uiPriority w:val="0"/>
    <w:rPr>
      <w:rFonts w:ascii="Times New Roman" w:hAnsi="Times New Roman"/>
      <w:color w:val="FF0000"/>
      <w:lang w:val="en-GB" w:eastAsia="en-US"/>
    </w:rPr>
  </w:style>
  <w:style w:type="character" w:customStyle="1" w:styleId="182">
    <w:name w:val="标题 3 字符"/>
    <w:link w:val="4"/>
    <w:uiPriority w:val="0"/>
    <w:rPr>
      <w:rFonts w:ascii="Arial" w:hAnsi="Arial"/>
      <w:sz w:val="28"/>
      <w:lang w:val="en-GB" w:eastAsia="en-US"/>
    </w:rPr>
  </w:style>
  <w:style w:type="character" w:customStyle="1" w:styleId="183">
    <w:name w:val="标题 4 字符"/>
    <w:link w:val="5"/>
    <w:uiPriority w:val="0"/>
    <w:rPr>
      <w:rFonts w:ascii="Arial" w:hAnsi="Arial"/>
      <w:sz w:val="24"/>
      <w:lang w:val="en-GB" w:eastAsia="en-US"/>
    </w:rPr>
  </w:style>
  <w:style w:type="character" w:customStyle="1" w:styleId="184">
    <w:name w:val="标题 1 字符"/>
    <w:link w:val="2"/>
    <w:uiPriority w:val="0"/>
    <w:rPr>
      <w:rFonts w:ascii="Arial" w:hAnsi="Arial"/>
      <w:sz w:val="36"/>
      <w:lang w:val="en-GB" w:eastAsia="en-US"/>
    </w:rPr>
  </w:style>
  <w:style w:type="character" w:customStyle="1" w:styleId="185">
    <w:name w:val="标题 2 字符"/>
    <w:link w:val="3"/>
    <w:uiPriority w:val="0"/>
    <w:rPr>
      <w:rFonts w:ascii="Arial" w:hAnsi="Arial"/>
      <w:sz w:val="32"/>
      <w:lang w:val="en-GB" w:eastAsia="en-US"/>
    </w:rPr>
  </w:style>
  <w:style w:type="character" w:customStyle="1" w:styleId="186">
    <w:name w:val="normaltextrun"/>
    <w:basedOn w:val="12"/>
    <w:uiPriority w:val="0"/>
  </w:style>
  <w:style w:type="character" w:customStyle="1" w:styleId="187">
    <w:name w:val="eop"/>
    <w:basedOn w:val="12"/>
    <w:uiPriority w:val="0"/>
  </w:style>
  <w:style w:type="character" w:customStyle="1" w:styleId="188">
    <w:name w:val="CR Cover Page Zchn"/>
    <w:link w:val="131"/>
    <w:locked/>
    <w:uiPriority w:val="0"/>
    <w:rPr>
      <w:rFonts w:ascii="Arial" w:hAnsi="Arial"/>
      <w:lang w:val="en-GB" w:eastAsia="en-US"/>
    </w:rPr>
  </w:style>
  <w:style w:type="character" w:customStyle="1" w:styleId="189">
    <w:name w:val="TH Char"/>
    <w:link w:val="105"/>
    <w:qFormat/>
    <w:uiPriority w:val="0"/>
    <w:rPr>
      <w:rFonts w:ascii="Arial" w:hAnsi="Arial"/>
      <w:b/>
      <w:lang w:val="en-GB" w:eastAsia="en-US"/>
    </w:rPr>
  </w:style>
  <w:style w:type="character" w:customStyle="1" w:styleId="190">
    <w:name w:val="TAH Car"/>
    <w:link w:val="101"/>
    <w:uiPriority w:val="0"/>
    <w:rPr>
      <w:rFonts w:ascii="Arial" w:hAnsi="Arial"/>
      <w:b/>
      <w:sz w:val="18"/>
      <w:lang w:val="en-GB" w:eastAsia="en-US"/>
    </w:rPr>
  </w:style>
  <w:style w:type="character" w:customStyle="1" w:styleId="191">
    <w:name w:val="TAL Zchn"/>
    <w:link w:val="103"/>
    <w:uiPriority w:val="0"/>
    <w:rPr>
      <w:rFonts w:ascii="Arial" w:hAnsi="Arial"/>
      <w:sz w:val="18"/>
      <w:lang w:val="en-GB" w:eastAsia="en-US"/>
    </w:rPr>
  </w:style>
  <w:style w:type="character" w:customStyle="1" w:styleId="192">
    <w:name w:val="TAC Char"/>
    <w:link w:val="102"/>
    <w:qFormat/>
    <w:uiPriority w:val="0"/>
    <w:rPr>
      <w:rFonts w:ascii="Arial" w:hAnsi="Arial"/>
      <w:sz w:val="18"/>
      <w:lang w:val="en-GB" w:eastAsia="en-US"/>
    </w:rPr>
  </w:style>
  <w:style w:type="character" w:customStyle="1" w:styleId="193">
    <w:name w:val="B1 Char1"/>
    <w:qFormat/>
    <w:locked/>
    <w:uiPriority w:val="0"/>
    <w:rPr>
      <w:lang w:eastAsia="zh-CN"/>
    </w:rPr>
  </w:style>
  <w:style w:type="character" w:customStyle="1" w:styleId="194">
    <w:name w:val="B2 Char"/>
    <w:link w:val="126"/>
    <w:uiPriority w:val="0"/>
    <w:rPr>
      <w:rFonts w:ascii="Times New Roman" w:hAnsi="Times New Roman"/>
      <w:lang w:val="en-GB" w:eastAsia="en-US"/>
    </w:rPr>
  </w:style>
  <w:style w:type="paragraph" w:customStyle="1" w:styleId="195">
    <w:name w:val="Revision1"/>
    <w:hidden/>
    <w:semiHidden/>
    <w:uiPriority w:val="99"/>
    <w:rPr>
      <w:rFonts w:ascii="Times New Roman" w:hAnsi="Times New Roman" w:eastAsia="宋体" w:cs="Times New Roman"/>
      <w:lang w:val="en-GB" w:eastAsia="en-US" w:bidi="ar-SA"/>
    </w:rPr>
  </w:style>
  <w:style w:type="paragraph" w:customStyle="1" w:styleId="196">
    <w:name w:val="修订1"/>
    <w:hidden/>
    <w:unhideWhenUsed/>
    <w:uiPriority w:val="99"/>
    <w:rPr>
      <w:rFonts w:ascii="Times New Roman" w:hAnsi="Times New Roman" w:eastAsia="宋体" w:cs="Times New Roman"/>
      <w:lang w:val="en-GB" w:eastAsia="en-US" w:bidi="ar-SA"/>
    </w:rPr>
  </w:style>
  <w:style w:type="paragraph" w:customStyle="1" w:styleId="197">
    <w:name w:val="Doc-text2"/>
    <w:basedOn w:val="1"/>
    <w:qFormat/>
    <w:uiPriority w:val="0"/>
    <w:pPr>
      <w:tabs>
        <w:tab w:val="left" w:pos="1622"/>
      </w:tabs>
      <w:ind w:left="1622" w:hanging="363"/>
    </w:pPr>
    <w:rPr>
      <w:rFonts w:ascii="Arial" w:hAnsi="Arial" w:eastAsia="MS Mincho"/>
      <w:szCs w:val="24"/>
      <w:lang w:eastAsia="en-GB"/>
    </w:rPr>
  </w:style>
  <w:style w:type="character" w:customStyle="1" w:styleId="198">
    <w:name w:val="Unresolved Mention"/>
    <w:basedOn w:val="12"/>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1320</Words>
  <Characters>7528</Characters>
  <Lines>62</Lines>
  <Paragraphs>17</Paragraphs>
  <TotalTime>4</TotalTime>
  <ScaleCrop>false</ScaleCrop>
  <LinksUpToDate>false</LinksUpToDate>
  <CharactersWithSpaces>8831</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2025-02-12T03:42:00Z</dcterms:created>
  <dc:creator>Michael Sanders, John M Meredith</dc:creator>
  <cp:lastModifiedBy>Apple</cp:lastModifiedBy>
  <cp:lastPrinted>1900-01-05T23:00:00Z</cp:lastPrinted>
  <dcterms:modified xsi:type="dcterms:W3CDTF">2026-02-02T17:41:03Z</dcterms:modified>
  <dc:title>3GPP Contribution</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5AIRPNAIUNRU-931754773-4745</vt:lpwstr>
  </property>
  <property fmtid="{D5CDD505-2E9C-101B-9397-08002B2CF9AE}" pid="4" name="_dlc_DocIdItemGuid">
    <vt:lpwstr>85303504-c8f1-42c4-a1a4-1467c82b0e92</vt:lpwstr>
  </property>
  <property fmtid="{D5CDD505-2E9C-101B-9397-08002B2CF9AE}" pid="5" name="_dlc_DocIdUrl">
    <vt:lpwstr>https://nokia.sharepoint.com/sites/c5g/security/_layouts/15/DocIdRedir.aspx?ID=5AIRPNAIUNRU-931754773-4745, 5AIRPNAIUNRU-931754773-4745</vt:lpwstr>
  </property>
  <property fmtid="{D5CDD505-2E9C-101B-9397-08002B2CF9AE}" pid="6" name="MediaServiceImageTags">
    <vt:lpwstr/>
  </property>
  <property fmtid="{D5CDD505-2E9C-101B-9397-08002B2CF9AE}" pid="7" name="ContentTypeId">
    <vt:lpwstr>0x010100DA95EA92BC8BC0428C825697CEF0A167</vt:lpwstr>
  </property>
  <property fmtid="{D5CDD505-2E9C-101B-9397-08002B2CF9AE}" pid="8" name="KSOProductBuildVer">
    <vt:lpwstr>1033-7.5.1.8994</vt:lpwstr>
  </property>
  <property fmtid="{D5CDD505-2E9C-101B-9397-08002B2CF9AE}" pid="9" name="ICV">
    <vt:lpwstr>F7C55269B39EE261550C7369B1B42705_43</vt:lpwstr>
  </property>
</Properties>
</file>